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RR.2024.159 vom 5. Mai 2025</w:t>
      </w:r>
    </w:p>
    <w:p>
      <w:r>
        <w:t>Bundesstrafgericht, 2025-05-05, FR</w:t>
      </w:r>
    </w:p>
    <w:p>
      <w:r>
        <w:rPr>
          <w:b/>
        </w:rPr>
        <w:t xml:space="preserve">Quelle: </w:t>
      </w:r>
      <w:r>
        <w:t>https://mcp.opencaselaw.ch/entscheid/bstger_RR.2024.159</w:t>
      </w:r>
    </w:p>
    <w:p>
      <w:r>
        <w:t>FR: TPF RR.2024.159 du 5 mai 2025</w:t>
      </w:r>
    </w:p>
    <w:p>
      <w:r>
        <w:t>IT: TPF RR.2024.159 del 5 maggio 2025</w:t>
      </w:r>
    </w:p>
    <w:p>
      <w:pPr>
        <w:pStyle w:val="Heading2"/>
      </w:pPr>
      <w:r>
        <w:t>Regeste</w:t>
      </w:r>
    </w:p>
    <w:p>
      <w:r>
        <w:t>Entraide judiciaire internationale en matière pénale à l'Ukraine; remise de moyens de preuve (art. 74 EIMP); saisie conservatoire (art. 33a OEIMP)</w:t>
      </w:r>
    </w:p>
    <w:p>
      <w:pPr>
        <w:pStyle w:val="Heading2"/>
      </w:pPr>
      <w:r>
        <w:t>Erwägungen</w:t>
      </w:r>
    </w:p>
    <w:p>
      <w:r>
        <w:rPr>
          <w:b/>
        </w:rPr>
        <w:t>E. 1.1.1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et s.). Bien qu’elle ne soit pas prévue par la loi fédérale sur la procédure administrative du 20 décembre 1968 (PA; RS 172.021), applicable, en l’espèce (v. infra consid. 1.5), l’institution de la jonction des causes est néanmoins admise en pratique (v. arrêts du Tribunal pénal fédéral RR.2019.160 + RH.2019.16 du 13 août 2019 consid. 1; RR.2017.97 et RR.2017.69 du 30 juin 2017 consid. 3; RR.2008.190 du 26 février 2009 consid. 1; RR.2008.216 + RR.2008.225-230 du 20 novembre 2008 consid. 1.2; MOSER/BEUSCH/KNEUBÜHLER/KAYSER, Prozessieren vor dem Bundesverwaltungsgericht, 3e éd. 2022, § 3.17, p. 164).</w:t>
      </w:r>
    </w:p>
    <w:p>
      <w:r>
        <w:rPr>
          <w:b/>
        </w:rPr>
        <w:t>E. 1.1.2</w:t>
      </w:r>
    </w:p>
    <w:p>
      <w:r>
        <w:t>In casu, les trois recours concernent la même demande d’entraide, les recourantes étaient, jusqu’au 24 février 2025, représentées par la même avocate (v. supra Faits, let. H) et les griefs soulevés dans les trois causes RR.2024.159, RR.2024.161 et RR.2024.162 sont, pour l’essentiel, identiques, de sorte qu’il y a lieu de les joindre.</w:t>
      </w:r>
    </w:p>
    <w:p>
      <w:r>
        <w:t>- 5 -</w:t>
      </w:r>
    </w:p>
    <w:p>
      <w:r>
        <w:rPr>
          <w:b/>
        </w:rPr>
        <w:t>E. 1.2</w:t>
      </w:r>
    </w:p>
    <w:p>
      <w:r>
        <w:t>Bien que les recours soumis à l’examen du Tribunal pénal fédéral aient été rédigés en allemand, comme le permet l’art. 6 al. 1 de la loi fédérale du</w:t>
      </w:r>
    </w:p>
    <w:p>
      <w:r>
        <w:rPr>
          <w:b/>
        </w:rPr>
        <w:t>E. 1.3</w:t>
      </w:r>
    </w:p>
    <w:p>
      <w:r>
        <w:t>L’entraide judiciaire entre la Confédération suisse et l’Ukraine est régie, en premier lieu, par la Convention européenne d’entraide judiciaire en matière pénale du 20 avril 1959 (CEEJ; 0.351.1), entrée en vigueur le 20 mars 1967 pour la Suisse et le 9 juin 1998 pour l’Ukraine, ainsi que par le Deuxième Protocole additionnel du 8 novembre 2001 à la CEEJ (ci-après PA II CEEJ), entré en vigueur pour la Suisse le 1er février 2005 et pour l’État requérant le 1er janvier 2012. Peuvent également s’appliquer, en l’espèce, la Convention du Conseil de l’Europe relative au blanchiment, au dépistage, à la saisie et à la confiscation des produits du crime du 8 novembre 1990 (CBl; RS 0.311.53), entrée en vigueur le 1er septembre 1993 pour la Suisse et le 1er mai 1998 pour l’Ukraine, ainsi que, s’agissant du blanchiment d’argent (indépendamment de la nature du crime préalable), les art. 43 ss, en particulier l’art. 46 (par renvoi des art. 14 et 23) de la Convention des Nations Unies contre la corruption du 31 octobre 2003 (UNCAC; RS 0.311.53), en vigueur pour la Suisse dès le 24 octobre 2009 et pour l’Ukraine depuis le 1er janvier 2010.</w:t>
      </w:r>
    </w:p>
    <w:p>
      <w:r>
        <w:rPr>
          <w:b/>
        </w:rPr>
        <w:t>E. 1.4</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(v. art. 39 ch. 3 CBI). L'application de la norme la plus favorable doit avoir lieu dans le respect des droits fondamentaux (ATF 145 IV 294 consid. 2.1; 135 IV 212 consid. 2.3; 123 II 595 consid. 7c).</w:t>
      </w:r>
    </w:p>
    <w:p>
      <w:r>
        <w:rPr>
          <w:b/>
        </w:rPr>
        <w:t>E. 1.5</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art. 37 al. 2 let. a ch. 1 de la loi fédérale sur l’organisation des autorités pénales de la Confédération [LOAP;</w:t>
      </w:r>
    </w:p>
    <w:p>
      <w:r>
        <w:t>- 6 -</w:t>
      </w:r>
    </w:p>
    <w:p>
      <w:r>
        <w:t>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PA sont, en outre, applicables à la présente procédure de recours (art. 12 al. 1 EIMP, art. 39 al. 2 let. b en lien avec l’art. 37 al. 2 let. a ch. 1 LOAP).</w:t>
      </w:r>
    </w:p>
    <w:p>
      <w:r>
        <w:rPr>
          <w:b/>
        </w:rPr>
        <w:t>E. 1.6</w:t>
      </w:r>
    </w:p>
    <w:p>
      <w:r>
        <w:t>Interjetés le 24 décembre 2024, contre des prononcés notifiés les 4 et</w:t>
      </w:r>
    </w:p>
    <w:p>
      <w:r>
        <w:rPr>
          <w:b/>
        </w:rPr>
        <w:t>E. 1.7</w:t>
      </w:r>
    </w:p>
    <w:p>
      <w:r>
        <w:t>Les recours sont recevables et il y a lieu d’entrer en matière.</w:t>
      </w:r>
    </w:p>
    <w:p>
      <w:r>
        <w:t>2. Dans un grief qu’il convient de traiter en premier lieu, vu sa nature formelle, les recourantes se plaignent d’une violation du droit d’être entendu, s’agissant de l’accès au dossier et de l’absence de déterminations du MPC suite à celles de la recourante B. S.à.r.l du 14 octobre 2024 (RR.2024.159, 161 et 162, act. 1, p. 5 s.).</w:t>
      </w:r>
    </w:p>
    <w:p>
      <w:r>
        <w:t>2.1</w:t>
      </w:r>
    </w:p>
    <w:p>
      <w:r>
        <w:t>2.1.1 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t>2.1.2 En matière d'entraide judiciaire, le droit d'être entendu est mis en œuvre par l'art. 80b EIMP ainsi que par les art. 26 et 27 PA, applicables par renvoi de</w:t>
      </w:r>
    </w:p>
    <w:p>
      <w:r>
        <w:t>- 7 -</w:t>
      </w:r>
    </w:p>
    <w:p>
      <w:r>
        <w:t>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6e éd. 2024, n. 578).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w:t>
      </w:r>
    </w:p>
    <w:p>
      <w:r>
        <w:t>2.1.3 Le droit d'être entendu garanti à l'art. 29 al. 2 Cst.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w:t>
      </w:r>
    </w:p>
    <w:p>
      <w:r>
        <w:t>- 8 -</w:t>
      </w:r>
    </w:p>
    <w:p>
      <w:r>
        <w:t>décision prise dans son ensemble (arrêts du Tribunal fédéral 6B_362/2019 du 21 mai 2019 consid. 2.1 et références citées; 1B_120/2014 du 20 juin 2014 consid. 2.1 et référence citée; 5A_878/2012 du 26 août 2013 consid. 3.1; 2C_23/2009 du 25 mai 2009 consid. 3.1).</w:t>
      </w:r>
    </w:p>
    <w:p>
      <w:r>
        <w:t>2.2 Même s’il n’est pas soulevé au nombre des griefs relatifs à la violation du droit d’être entendu, il y a lieu de traiter, à ce titre et en premier lieu, celui relatif à la langue de la procédure devant l’autorité précédente.</w:t>
      </w:r>
    </w:p>
    <w:p>
      <w:r>
        <w:t>2.2.1 À teneur de l’art. 3 al. 1 LOAP, la langue de la procédure est le français, l’italien ou l’allemand. L’al. 2 précise que le MPC détermine la langue de la procédure à l’ouverture de l’instruction et que, pour ce faire, il prend notamment en compte les connaissances linguistiques des participants à la procédure (let. a), la langue dans laquelle les pièces essentielles du dossier sont établies (let. b) ou la langue en usage au lieu où les premiers actes d’instruction ont été accomplis (let. c). L’énumération des critères à appliquer n’est cependant pas exhaustive et les ressources disponibles pourront également être prises en compte (Message relatif à la loi fédérale sur l’organisation des autorités pénales de la Confédération [ci-après: Message LOAP] du 10 septembre 2008, FF 2008 7371, p. 7392). Quant à l’al. 3 de la disposition légale susmentionnée, il précise qu’une fois déterminée, la langue de la procédure est utilisée jusqu’à la clôture de la procédure par une décision entrée en force.</w:t>
      </w:r>
    </w:p>
    <w:p>
      <w:r>
        <w:t>2.2.2 Les recourantes reprochent au MPC le choix du français comme langue de la procédure, alors que, de leur point de vue, elle aurait dû être menée en allemand (RR.2024.159, 161 et 162, act. 1).</w:t>
      </w:r>
    </w:p>
    <w:p>
      <w:r>
        <w:t>2.2.3 Pour deux d’entre elles, un tel reproche est tardif, en tant que formulé pour la première fois au stade du recours, soit après le prononcé de clôture (v. également infra consid. 2.4 in fine). Pour la troisième, B. S.à.r.l., qui a formulé son grief pour la première fois le 14 octobre 2024 (v. supra Faits, let. D), il peut être renvoyé à la motivation de la décision entreprise, laquelle ne prête pas le flanc à la critique. S’appuyant sur la jurisprudence constante de la Cour de céans (TPF 2023 156 consid. 2.7.2 et références citées; arrêt du Tribunal pénal fédéral RR.2024.56a du 5 juillet 2024 consid. 2), le MPC retient que l’on peut attendre d’un avocat exerçant en Suisse qu’il dispose a minima des compétences passives dans les langues officielles du pays; que cela s’applique d’autant plus dans un domaine, comme celui de l’entraide judiciaire internationale, impliquant l’usage de plusieurs langues; que dès l’ouverture de la procédure par le MPC, il a mené la procédure en français et établi les actes de la procédure dans cette langue (RR.2024.161, act.1.1, p. 13 s.). A cela s’ajoute que ce n’est que le 14 octobre 2024, alors qu’elle</w:t>
      </w:r>
    </w:p>
    <w:p>
      <w:r>
        <w:t>- 9 -</w:t>
      </w:r>
    </w:p>
    <w:p>
      <w:r>
        <w:t>avait pris part à la procédure devant le MPC le 21 juin 2024 et reçu nombre de communications en français par le MPC, notamment les 25 juin, 17, 30 et 31 juillet et 13 août 2024, que la question de la langue de la procédure a été soulevée par la recourante (qui plus est après l’échéance de la prolongation au 16 septembre 2024 pour faire parvenir ses déterminations; v. infra consid. 2.4). En outre, la langue de traduction choisie par les autorités requérantes – qui échappe à l’autorité d’exécution – ne saurait justifier que la procédure soit conduite dans cette langue, en l’occurrence, en allemand. Le choix du MPC, qui dispose à cet égard d’une marge d’appréciation, qu’il convient de respecter, n’est ainsi pas critiquable.</w:t>
      </w:r>
    </w:p>
    <w:p>
      <w:r>
        <w:t>2.2.4 En tout état de cause, vu les recours déposés et arguments y développés, les recourantes, par leur conseil, démontrent avoir parfaitement compris les actes de procédure, les enjeux de celle-ci et le prononcé de clôture.</w:t>
      </w:r>
    </w:p>
    <w:p>
      <w:r>
        <w:t>2.3</w:t>
      </w:r>
    </w:p>
    <w:p>
      <w:r>
        <w:t>2.3.1 Les recourantes reprochent à l’autorité précédente de ne pas leur avoir donné un accès intégral à la demande d’entraide du 22 octobre 2022, dont elles n’ont obtenu qu’une version caviardée.</w:t>
      </w:r>
    </w:p>
    <w:p>
      <w:r>
        <w:t>2.3.2 Le MPC a remis aux recourantes, les 25 juin, 15, 17 juillet et 7 août 2024, le dossier de la cause concernant chacune des recourantes, dont faisait partie la demande d’entraide partiellement caviardée. Le 31 juillet 2024, constatant qu’un même conseil représentait, notamment, les trois recourantes, le MPC a remis à chacune une nouvelle version de la demande d’entraide, caviardée uniquement des passages non pertinents et/ou ne concernant aucune d’elles, ainsi que cela ressort des dossiers des trois causes et de la réponse du MPC (RR.2024.159, 161 et 162, act. 12).</w:t>
      </w:r>
    </w:p>
    <w:p>
      <w:r>
        <w:t>2.3.3 Une telle manière de procéder est conforme à la jurisprudence constante précitée, la demande d’entraide, comptant au nombre des pièces décisives pour le sort de la cause, pouvant être limitée aux passages concernant l’intéressé (v. supra consid. 2.1.2). Informées le 31 juillet 2024 des motifs du caviardage, les recourantes n’ont ensuite pas requis du MPC au cours de la procédure un accès plus étendu à la demande d’entraide ou aux actes du dossier.</w:t>
      </w:r>
    </w:p>
    <w:p>
      <w:r>
        <w:t>2.3.4 Partant, les recourantes ont eu accès, comme la Cour de céans, à la demande d’entraide très partiellement caviardée, sur la base de laquelle, et des autres pièces du dossier, elles ont été en mesure de comprendre et d’attaquer efficacement la décision querellée, puisqu’elles ont soulevé des griefs bien précis et argumentés, traités dans le présent arrêt (v. infra consid. 3 ss).</w:t>
      </w:r>
    </w:p>
    <w:p>
      <w:r>
        <w:t>- 10 -</w:t>
      </w:r>
    </w:p>
    <w:p>
      <w:r>
        <w:t>2.4 Les recourantes reprochent également au MPC de n’avoir pas tenu compte, dans ses prononcés de clôture, des déterminations de la recourante B. S.à.r.l. du 14 octobre 2024. Cet argument tombe à faux, s’agissant de la société en question. Non seulement le MPC a mentionné ces déterminations – tardives – dans le prononcé de clôture la concernant, mais il a traité dans ledit prononcé la question de la langue de la procédure, ainsi que cela ressort des considérations qui précèdent (v. supra consid. 2.2.3), et celle de la compétence de l’autorité requérante (RR.2024.161, act. 1.1, p. 3, ch. 3). Quant aux deux autres arguments invoqués, celui du lien de causalité entre l’état de fait et les valeurs patrimoniales sur les comptes de la recourante a été traité – implicitement – avec la question de la proportionnalité; il en va de même de celui du dommage de USD 113'000'000.-- subi par la banque G., que le MPC décrit dans l’état de fait de la décision de clôture (en se référant au contenu de la demande d’entraide), comme dû au système criminel de détournement mis en place par les prévenus au sein de la banque (RR.2024.161, act. 1.1, p. 6, ch. 4 et p. 2, ch. 1). La question de savoir si la motivation, même implicite, du MPC est erronée ne relève pas du droit d’être entendu et, in casu, n’est pas pertinente (v. infra consid. 4.4). Le MPC a examiné les déterminations du 14 octobre 2024, malgré leur tardiveté – puisque formulées après l’échéance du délai pour ce faire, au 16 septembre 2024 – et qu’il n’était pas tenu de le faire (art. 32 al. 2 PA). Quant aux deux autres recourantes, elles ne sauraient valablement se plaindre d’une violation de leur droit d’être entendu, dans la mesure où les déterminations étaient formulées uniquement au nom de B. S.à.r.l. et que des procédures séparées ont été menées pour chacune des recourantes et ont fait l’objet de prononcés de clôture distincts. 2.5 Ce qui scelle le sort des griefs.</w:t>
      </w:r>
    </w:p>
    <w:p>
      <w:r>
        <w:t>3. Les recourantes remettent en question la compétence de l’autorité requérante et se prévalent de l’art. 2 EIMP, estimant que l’Ukraine ne serait pas à même de garantir un procès équitable (RR.2024.159, 161 et 162, act. 1, p. 4 s. et 8 s.).</w:t>
      </w:r>
    </w:p>
    <w:p>
      <w:r>
        <w:t>3.1</w:t>
      </w:r>
    </w:p>
    <w:p>
      <w:r>
        <w:t>3.1.1 À teneur de l’art. 1 ch. 1 CEEJ, les Parties Contractantes s’engagent à s’accorder mutuellement l’aide judiciaire la plus large possible dans toute procédure visant des infractions dont la répression est, au moment où l’entraide est demandée, de la compétence des autorités judiciaires de la Partie requérante. La notion d’autorité judiciaire au sens de la disposition précitée doit être interprétée à la lumière de l’art. 24 CEEJ (ATF 133 IV 40</w:t>
      </w:r>
    </w:p>
    <w:p>
      <w:r>
        <w:t>- 11 -</w:t>
      </w:r>
    </w:p>
    <w:p>
      <w:r>
        <w:t>consid. 3.1) qui, tel que remplacé par l’art. 6 PA II CEEJ, précise, entre autres, que tout État, au moment de la signature ou au moment du dépôt de son instrument de ratification, d’acceptation, d’approbation ou d’adhésion, par déclaration adressée au Secrétaire Général du Conseil de l’Europe, indiquera quelles autorités il considérera comme des autorités judiciaires aux fins de la CEEJ. Parmi les États ayant déposé des déclarations interprétatives, l’Ukraine qui, en date du 11 mars 1998, a considéré comme autorités judiciaires « les tribunaux de juridictions générales, les procureurs à tous les niveaux et les organes chargés de procéder aux enquêtes préliminaires » (in https://www.coe.int/fr/web/conventions/full-list?module= declarations-by-treaty&amp;numSte=030&amp;codeNature=0). Le 14 septembre 2011, une déclaration semblable a également été faite par l’Ukraine, s’agissant de l’art. 6 PA II CEEJ (in https://www.coe.int/fr/web/conven tions/concerning-a-given-treaty?module=declarations-by-treaty&amp;numArticle =6&amp;territoires=&amp;codeNature=0&amp;codePays=U&amp;numSte=182&amp;enVigueur=tru e&amp;ddateDebut=05-05-1949&amp;ddateStatus=). Le Parquet général de l’Ukraine est désigné autorité centrale en matière d’entraide, en application de l’art. 46 § 13 UNCAC, depuis la ratification du traité (https://treaties.un.org/doc/Publication/UNTS/Volume%202637/volume- 2637-A-42146.pdf); il l’est également en application de l’art. 23 §1 CBI (https://www.coe.int/fr/web/conventions/full-list?module=declarations- by-treaty&amp;numSte=141&amp;codeNature=0). Les autorités helvétiques n’ont pas à examiner de plus près les déclarations faites par les États ni à vérifier si elles sont devenues dans l’intervalle obsolètes en raison d’une modification du droit interne de l’État requérant, cette question étant de la compétence exclusive des autorités de l’État requérant (v. art. 30 let. c CEEJ; ZIMMERMANN, op. cit., n. 689). Lorsqu’une autorité compétente dépose une commission rogatoire, la Suisse est tenue, en vertu des dispositions conventionnelles, de fournir l’entraide judiciaire dès le moment où les autres conditions en la matière sont remplies. L’entraide judiciaire ne peut dès lors être refusée que si l’État requérant est manifestement incompétent, c’est-à-dire si ses autorités judiciaires ont arbitrairement affirmé leur compétence (ATF 142 IV 250 consid. 6.2 et références citées).</w:t>
      </w:r>
    </w:p>
    <w:p>
      <w:r>
        <w:t>3.1.2 En l’espèce, la demande d’entraide ukrainienne émane du « Staatliches Untersuchungsbüro » et a été approuvée par le procureur du Bureau du Procureur général en charge de la procédure pénale (« Staatsanwalt des Büros des Generalstaatsanwalts, der die Verfahrensführung im Strafverfahren durchführt »), puis adressée à la Suisse par ledit Bureau (RR.2024.159, 161 et 162, act. 1.2, première et dernière pages; décisions d’entrée en matière du MP-ZH du 27 janvier 2023 et lettres de délégations</w:t>
      </w:r>
    </w:p>
    <w:p>
      <w:r>
        <w:t>- 12 -</w:t>
      </w:r>
    </w:p>
    <w:p>
      <w:r>
        <w:t>de l’exécution de l’OFJ des 10 janvier et 24 août 2023, in dossiers MPC). L’entraide a ainsi été sollicitée par une autorité compétente pour ce faire (v. également et notamment, arrêts du Tribunal pénal fédéral RR.2024.112 du 12 janvier 2025; RR.2022.148-150 du 12 janvier 2023; RR.2022.98-99 du 15 novembre 2022). Le premier reproche doit être écarté.</w:t>
      </w:r>
    </w:p>
    <w:p>
      <w:r>
        <w:t>3.2</w:t>
      </w:r>
    </w:p>
    <w:p>
      <w:r>
        <w:t>3.2.1 Selon la jurisprudence, l'art. 2 EIMP (qui permet notamment d'invoquer les défauts de la procédure étrangère) peut être invoqué en premier lieu par la personne qui fait l'objet d'une demande d'extradition. Si la demande d'entraide judiciaire porte sur la remise de moyens de preuve (art. 74 EIMP), seule la personne accusée peut s'en prévaloir à condition qu'elle se trouve dans l'Etat requérant et soit exposée concrètement à un risque de violation de ses droits de procédure (ATF 130 II 217 consid. 8.2). En revanche, les personnes morales n'ont, de jurisprudence constante, en principe pas qualité pour invoquer la clause d'ordre public de l'art. 2 EIMP (ATF 133 IV 40 consid. 7.2; 130 II 217 consid. 8.2; 126 II 258 consid. 2d/aa; 125 II 356 consid. 3b/bb; 115 Ib 68 consid. 6 et les références citées; ZIMMERMANN, op. cit., n. 651). Cette jurisprudence a encore été confirmée récemment par la Haute Cour (arrêts du Tribunal fédéral 1C_101/2024 du 15 février 2024 consid. 1.3; 1C_624/2022 du 21 avril 2023 consid. 3.5 destiné à la publication; 1C_173/2023 du 25 avril 2023 consid. 1.2; 1C_338/2022 du 17 juin 2022 consid. 1.2 concernant également l'entraide judiciaire à l'Ukraine).</w:t>
      </w:r>
    </w:p>
    <w:p>
      <w:r>
        <w:t>3.2.2 Les recourantes, personnes morales n’ayant ni leur siège en Ukraine, ni le statut de prévenues dans la procédure ukrainienne, ne sont pas habilitées à se prévaloir de l’art. 2 EIMP. Ce qui scelle le sort du second grief.</w:t>
      </w:r>
    </w:p>
    <w:p>
      <w:r>
        <w:t>4. Les recourantes allèguent une violation du principe de la double incrimination (RR.2024.159, 161 et 162, act. 1, p. 6 ss).</w:t>
      </w:r>
    </w:p>
    <w:p>
      <w:r>
        <w:t>4.1 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w:t>
      </w:r>
    </w:p>
    <w:p>
      <w:r>
        <w:t>- 13 -</w:t>
      </w:r>
    </w:p>
    <w:p>
      <w:r>
        <w:t>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133 IV 76 consid. 2.2; 126 II 495 consid. 5e/aa; 118 Ib 111 consid. 5b; 107 Ib 264 consid. 3a; arrêts du Tribunal pénal fédéral RR.2017.147 du 5 octobre 2017 consid. 3.1.1; RR.2014.75-76 du 5 septembre 2014 consid. 5.2;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t>4.2</w:t>
      </w:r>
    </w:p>
    <w:p>
      <w:r>
        <w:t>4.2.1 Selon l’art. 305bis ch. 1 CP (blanchiment d’argent), celui qui aura commis un acte propre à entraver l’identification de l’origine, la découverte ou la confiscation de valeurs patrimoniales dont il savait ou devait présumer qu’elles provenaient d’un crime (art. 10 al. 2 CP) ou d’un délit fiscal qualifié, sera puni d’une peine privative de liberté de trois ans au plus ou d’une peine pécuniaire.</w:t>
      </w:r>
    </w:p>
    <w:p>
      <w:r>
        <w:t>4.2.2 Dans sa demande d’entraide pour les besoins d’une enquête menée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(ATF 130 II 329 consid. 5.1; 129 II 97 consid. 3; arrêts du Tribunal fédéral 1C_126/2014 du 16 mai 2014 consid. 4.4; 1A.231/2003 du 6 février 2004 consid. 5.3; TPF</w:t>
      </w:r>
    </w:p>
    <w:p>
      <w:r>
        <w:t>- 14 -</w:t>
      </w:r>
    </w:p>
    <w:p>
      <w:r>
        <w:t>2011 194 consid. 2.1 in fine; v. ég. ZIMMERMANN, op. cit., n. 739). Envers les Etats cocontractants de la CBI ou de l’UNCAC (v. supra consid. 1.3),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t>4.3 En l’espèce, les autorités ukrainiennes soupçonnent les trois prévenus d’avoir, au moyen d’un montage, détourné de la banque G., de laquelle ils étaient, respectivement, président suppléant du conseil d’administration, directeur du département international et actionnaire majoritaire, la somme d’USD 113'000'000.--, constituant des garanties de prêts octroyés par diverses banques sises au Luxembourg, au Liechtenstein et en Autriche, à la société H. Ltd, contrôlée par l’un des prévenus. Suite au non-respect, par ladite société, des conditions relatives aux prêts obtenus, les banques étrangères auraient prélevé les fonds de garanties mis à disposition par la banque G. H. Ltd aurait transféré les sommes obtenues à titre de prêt par les différentes banques étrangères vers des relations bancaires détenues par des sociétés contrôlées par F., dont la société B. S.à.r.l., ainsi que d’autres, sises à l’Île de Man et aux Bahamas, auprès de différents établissements suisses, en l’occurrence, les banques I., J. et L. (v. supra Faits, let. A; RR.2024.159, 161 et 162, act. 1.2; décisions d’entrée en matière du MP-ZH du 27 janvier 2023, in dossiers MPC).</w:t>
      </w:r>
    </w:p>
    <w:p>
      <w:r>
        <w:t>4.4 À l’aune du principe de la double incrimination, l'utilisation de nombreuses sociétés et de nombreux comptes en banque, répartis dans plusieurs pays, et l’importance des sommes entrant en ligne de compte constituent des indices suffisants, permettant objectivement de soupçonner des actes blanchiment d’argent (art. 305bis CP; v. supra consid. 4.2.2). Dès lors que la réunion des éléments constitutifs d'une seule infraction suffit pour l'octroi de l'entraide, il n'est pas nécessaire de vérifier si l'exposé des faits de la demande d’entraide réalise également les éléments constitutifs d'autres infractions pénales selon le droit suisse (ATF 125 II 569 consid. 6; arrêt du Tribunal fédéral 1C_138/2007 du 17 juillet 2007 consid. 2.3.2; arrêt du Tribunal pénal fédéral RR.2007.118 du 30 octobre 2007 consid. 5.2; v. supra consid. 4.1). Le grief est mal fondé.</w:t>
      </w:r>
    </w:p>
    <w:p>
      <w:r>
        <w:t>- 15 -</w:t>
      </w:r>
    </w:p>
    <w:p>
      <w:r>
        <w:rPr>
          <w:b/>
        </w:rPr>
        <w:t>E. 5</w:t>
      </w:r>
    </w:p>
    <w:p>
      <w:r>
        <w:t>Les recourantes se prévalent enfin d’une violation du principe de proportionnalité (RR.2024.159, 161 et 162, act. 1, p. 6).</w:t>
      </w:r>
    </w:p>
    <w:p>
      <w:r>
        <w:rPr>
          <w:b/>
        </w:rPr>
        <w:t>E. 5.1.1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905).</w:t>
      </w:r>
    </w:p>
    <w:p>
      <w:r>
        <w:t>- 16 -</w:t>
      </w:r>
    </w:p>
    <w:p>
      <w:r>
        <w:rPr>
          <w:b/>
        </w:rPr>
        <w:t>E. 5.1.2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5.1.3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5.2</w:t>
      </w:r>
    </w:p>
    <w:p>
      <w:r>
        <w:t>En l’espèce, F., prévenu dans la procédure ukrainienne, est ayant droit économique des valeurs patrimoniales déposées sur les relations bancaires des trois société recourantes. La société B. S.à.r.l., ainsi que les références de plusieurs de ses relations bancaires auprès des banques I., J. et L. sont mentionnées dans la demande d’entraide ukrainienne, la société comme possible bénéficiaire de sommes blanchies. Les deux autres sociétés, bien que non mentionnées dans la demande d’entraide, sont chacune titulaires de relations bancaires près les banques I. et K. (certaines relations bancaires des recourantes près la banque I. et la banque L. ont été clôturées et leurs soldes versés sur des relations bancaires détenues elles près la banque K.; décisions du MP-ZH du 15 mars 2023, in dossiers MPC). Le MPC précise que la documentation bancaire relative aux relations visées par les prononcés entrepris est de nature à fournir des informations pertinentes sur le mode de structuration des sociétés détenues par le prévenu F., en particulier par le truchement de sociétés offshores et de trusts (RR.2024.159, 161 et 162, act. 1.1 et 12).</w:t>
      </w:r>
    </w:p>
    <w:p>
      <w:r>
        <w:rPr>
          <w:b/>
        </w:rPr>
        <w:t>E. 5.3</w:t>
      </w:r>
    </w:p>
    <w:p>
      <w:r>
        <w:t>Partant, il existe un lien de connexité suffisant entre les informations à</w:t>
      </w:r>
    </w:p>
    <w:p>
      <w:r>
        <w:t>- 17 -</w:t>
      </w:r>
    </w:p>
    <w:p>
      <w:r>
        <w:t>transmettre et l’état de fait de l’enquête pénale ukrainienne pour admettre la transmission de la documentation bancaire relative aux comptes des recourantes, telle que répertoriée dans les dispositifs des prononcés querellés. Le principe de l’utilité potentielle permet à l’autorité requise d’aller au-delà de la demande afin, notamment, d’éviter le dépôt de nouvelles requêtes (v. supra consid. 5.1.1), surtout dans des affaires aux contours complexes comme la présente. Cette façon de procéder est notamment justifiée par le devoir d’exhaustivité incombant à l’autorité d’exécution qui lui impose de transmettre tous les renseignements concernant de près ou de loin les infractions poursuivies, à charge, par la suite, pour l’autorité de poursuite d’examiner la pertinence des moyens de preuve fournis, ce d’autant que l’entraide vise non seulement à recueillir des preuves à charge, mais également à décharge (v. supra consid. 5.1.2). Il n’appartient ni à l’autorité d’exécution ni à l’autorité de recours de se substituer à l’autorité requérante dans l’appréciation de leur utilité effective pour l’enquête étrangère. Le grief est infondé.</w:t>
      </w:r>
    </w:p>
    <w:p>
      <w:r>
        <w:t>6. Au vu de ce qui précède, la remise à l'Etat requérant de la documentation bancaire telle que répertoriée dans les dispositifs des prononcés entrepris, de même que le maintien des séquestres prononcés sont conformes au droit. 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 (v. TPF 2007 124 consid. 8.1).</w:t>
      </w:r>
    </w:p>
    <w:p>
      <w:r>
        <w:t>7. Partant, les recours doivent être rejetés.</w:t>
      </w:r>
    </w:p>
    <w:p>
      <w:r>
        <w:t>8. L’art. 9 OEIMP précise que la personne domiciliée à l’étranger ou son mandataire doit désigner un domicile de notification en Suisse, à défaut de quoi la notification peut être omise.</w:t>
      </w:r>
    </w:p>
    <w:p>
      <w:r>
        <w:t>8.1 La recourante A. Ltd, domiciliée à Chypre, n’ayant pas élu de domicile en Suisse, conformément à l’art. 11b al. 1 PA, malgré l’invitation à ce faire, avec celle pour répliquer (v. supra Faits let. I), il n’y a pas lieu de lui notifier le présent arrêt, y compris par publication officielle (v. art. 36 let. b PA Kannvorschrift); la notification se fera ad acta (v. arrêt du Tribunal pénal fédéral RR.2022.198-200 du 2 janvier 2023).</w:t>
      </w:r>
    </w:p>
    <w:p>
      <w:r>
        <w:t>- 18 -</w:t>
      </w:r>
    </w:p>
    <w:p>
      <w:r>
        <w:t>8.2 Quant à la recourante B. S.à.r.l., sise au Luxembourg, même si elle n’a pas non plus élu domicile en Suisse, suite à l’invitation à ce faire (v. supra Faits let. I), le Luxembourg et la Suisse étant liés par la Convention européenne sur la notification à l’étranger des documents en matière administrative du 24 novembre 1977 (RS 0.172.030.5), entrée en vigueur pour le Luxembourg le 1er novembre 1982 et pour la Suisse le 1er octobre 2019, il y a lieu de lui notifier le présent arrêt conformément audit traité.</w:t>
      </w:r>
    </w:p>
    <w:p>
      <w:r>
        <w:t>8.3 La question ne se pose pas pour la troisième C. ag, domiciliée en Suisse.</w:t>
      </w:r>
    </w:p>
    <w:p>
      <w:r>
        <w:rPr>
          <w:b/>
        </w:rPr>
        <w:t>E. 9</w:t>
      </w:r>
    </w:p>
    <w:p>
      <w:r>
        <w:t>En tant qu’elles succombent, les recourantes doivent supporter solidairement les frais du présent arrêt (art. 63 al. 1 PA, applicable par renvoi de l’art. 39 al. 2 let. b LOAP), lesquels sont fixés à CHF 13’000.-- (v. art. 73 al. 2 LOAP et art. 8 al. 3 du règlement du Tribunal pénal fédéral sur les frais, émoluments, dépens, et indemnités de la procédure pénale fédérale [RFPPF; RS 173.713.162]; art. 63 al. 5 PA), montant couvert par les avances de frais déjà versées (soit CHF 4'000.--, CHF 5'000.-- et 10'000.--). Le solde, par CHF 6'000.-- au total, soit CHF 2'000.-- à chacune, leur sera restitué par la Caisse du Tribunal pénal fédéral.</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