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RR.2024.157 vom 27. Mai 2025</w:t>
      </w:r>
    </w:p>
    <w:p>
      <w:r>
        <w:t>Bundesstrafgericht, 2025-05-27, DE</w:t>
      </w:r>
    </w:p>
    <w:p>
      <w:r>
        <w:rPr>
          <w:b/>
        </w:rPr>
        <w:t xml:space="preserve">Quelle: </w:t>
      </w:r>
      <w:r>
        <w:t>https://mcp.opencaselaw.ch/entscheid/bstger_RR.2024.157</w:t>
      </w:r>
    </w:p>
    <w:p>
      <w:r>
        <w:t>FR: TPF RR.2024.157 du 27 mai 2025</w:t>
      </w:r>
    </w:p>
    <w:p>
      <w:r>
        <w:t>IT: TPF RR.2024.157 del 27 maggio 2025</w:t>
      </w:r>
    </w:p>
    <w:p>
      <w:pPr>
        <w:pStyle w:val="Heading2"/>
      </w:pPr>
      <w:r>
        <w:t>Regeste</w:t>
      </w:r>
    </w:p>
    <w:p>
      <w:r>
        <w:t>Internationale Rechtshilfe in Strafsachen an Deutschland;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ist zufolge Rückzugs als gegenstandslos von der Geschäfts- kontrolle abzuschreiben.</w:t>
      </w:r>
    </w:p>
    <w:p>
      <w:r>
        <w:rPr>
          <w:b/>
        </w:rPr>
        <w:t>E. 2</w:t>
      </w:r>
    </w:p>
    <w:p>
      <w:r>
        <w:t>Die Gerichtsgebühr ist ausgangsgemäss dem Beschwerdeführer aufzuerle- gen (vgl. Art. 63 Abs. 1 VwVG) und auf Fr. 200.-- festzusetzen (vgl. Art. 63 Abs. 4bis VwVG i.V.m. Art. 73 StBOG sowie Art. 5 und 8 Abs. 3 lit. a des Reglements des Bundesstrafgerichts vom 31. August 2010 über die Kosten, Gebühren und Entschädigungen in Bundesstrafverfahren [BStKR; SR 173.713.162]).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