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RR.2024.132 vom 6. August 2025</w:t>
      </w:r>
    </w:p>
    <w:p>
      <w:r>
        <w:t>Bundesstrafgericht, 2025-08-06, FR</w:t>
      </w:r>
    </w:p>
    <w:p>
      <w:r>
        <w:rPr>
          <w:b/>
        </w:rPr>
        <w:t xml:space="preserve">Quelle: </w:t>
      </w:r>
      <w:r>
        <w:t>https://mcp.opencaselaw.ch/entscheid/bstger_RR.2024.132</w:t>
      </w:r>
    </w:p>
    <w:p>
      <w:r>
        <w:t>FR: TPF RR.2024.132 du 6 août 2025</w:t>
      </w:r>
    </w:p>
    <w:p>
      <w:r>
        <w:t>IT: TPF RR.2024.132 del 6 agosto 2025</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ainsi que par le Deuxième Protocole additionnel à ladite Convention, entré en vigueur pour la Suisse le 1er février 2005 et pour l’Etat requérant le 1er octobre 2010 (RS 0.351.12). En l’espèce, trouvent également application les dispositions de la Convention relative au blanchiment, au dépistage, à la saisie et à la confiscation des produits du crime (CBl; RS 0.311.53), entrée en vigueur le 1er septembre 1993.</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w:t>
      </w:r>
    </w:p>
    <w:p>
      <w:r>
        <w:t>- 5 -</w:t>
      </w:r>
    </w:p>
    <w:p>
      <w:r>
        <w:t>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du (PA; RS 172.021) sont, en outre, applicables à la présente procédure de recours (art. 12 al. 1 EIMP, art. 39 al. 2 let. b en lien avec l’art. 37 al. 2 let. a ch. 1 LOAP).</w:t>
      </w:r>
    </w:p>
    <w:p>
      <w:r>
        <w:rPr>
          <w:b/>
        </w:rPr>
        <w:t>E. 1.4</w:t>
      </w:r>
    </w:p>
    <w:p>
      <w:r>
        <w:t>Titulaire, respectivement cotitulaire des relations bancaires dont le MP-GE ordonne la transmission de la documentation à l’Etat requérant, le recourant dispose de la qualité pour recourir contre le prononcé entrepris (art. 80h let. b EIMP et 9a let. a et b OEIMP; ATF 137 IV 134 consid. 5; 118 Ib 547 consid. 1d).</w:t>
      </w:r>
    </w:p>
    <w:p>
      <w:r>
        <w:rPr>
          <w:b/>
        </w:rPr>
        <w:t>E. 1.5</w:t>
      </w:r>
    </w:p>
    <w:p>
      <w:r>
        <w:t>Interjeté le 18 novembre 2024, contre une décision notifiée le 18 octobre 2024, le recours a été déposé en temps utile (art. 80k EIMP).</w:t>
      </w:r>
    </w:p>
    <w:p>
      <w:r>
        <w:rPr>
          <w:b/>
        </w:rPr>
        <w:t>E. 1.6</w:t>
      </w:r>
    </w:p>
    <w:p>
      <w:r>
        <w:t>Le recours est recevable et il y a lieu d’entrer en matière.</w:t>
      </w:r>
    </w:p>
    <w:p>
      <w:r>
        <w:rPr>
          <w:b/>
        </w:rPr>
        <w:t>E. 2</w:t>
      </w:r>
    </w:p>
    <w:p>
      <w:r>
        <w:t>Dans un moyen, qu’il convient de traiter en premier lieu compte tenu de sa nature formelle, le recourant fait grief au MP-GE d’avoir porté atteinte à son droit d’être entendu. Il estime que ce dernier ne lui a pas permis de se déterminer (v. invitation du 20 août 2024, supra let. C) – alors qu’il avait annoncé une prise de position pour « mi-octobre » (cf. act. 1.12) – et de ne pas avoir trié les pièces qu’il souhaitait transmettre.</w:t>
      </w:r>
    </w:p>
    <w:p>
      <w:r>
        <w:rPr>
          <w:b/>
        </w:rPr>
        <w:t>E. 2.1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w:t>
      </w:r>
    </w:p>
    <w:p>
      <w:r>
        <w:rPr>
          <w:b/>
        </w:rPr>
        <w:t>E. 2.2</w:t>
      </w:r>
    </w:p>
    <w:p>
      <w:r>
        <w:t>Lorsqu’une violation du droit d’être entendu est commise par l’autorité d’exécution, la procédure de recours auprès de la Cour de céans permet, en principe, la réparation (arrêts du Tribunal fédéral 1C_703/2017 du 8 janvier</w:t>
      </w:r>
    </w:p>
    <w:p>
      <w:r>
        <w:t>- 6 -</w:t>
      </w:r>
    </w:p>
    <w:p>
      <w:r>
        <w:t>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décision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6e éd. 2024, nos 572 ss).</w:t>
      </w:r>
    </w:p>
    <w:p>
      <w:r>
        <w:rPr>
          <w:b/>
        </w:rPr>
        <w:t>E. 2.3</w:t>
      </w:r>
    </w:p>
    <w:p>
      <w:r>
        <w:t>En l’espèce, le MP-GE a rendu sa décision de clôture le 17 octobre 2024, après avoir reçu les déterminations de l’épouse du recourant, C., sans attendre les déterminations propres de ce dernier.</w:t>
      </w:r>
    </w:p>
    <w:p>
      <w:r>
        <w:rPr>
          <w:b/>
        </w:rPr>
        <w:t>E. 2.4</w:t>
      </w:r>
    </w:p>
    <w:p>
      <w:r>
        <w:t>Il ressort du dossier que le MP-GE a informé la banque F. le 20 août 2024 que l’interdiction d’aviser ses clients était levée, que les titulaires des relations étaient invités à se déterminer sur la transmission des pièces saisies, et que la décision de clôture serait notifiée sous quinzaine (act. 1.8). Le 30 août 2024, le conseil du recourant et de l’épouse de ce dernier, C., a annoncé s’être constitué pour la défense des intérêts du couple et a sollicité la consultation du dossier (act. 1.9). Celle-ci a eu lieu dès le 10 septembre 2024 (act. 7.1). Par lettre du 30 septembre 2024, le conseil du recourant a indiqué au MP-GE que des déterminations de ses clients devraient pouvoir être soumises à l’autorité d’exécution à compter de mi-octobre 2024 (act. 1.12). Le 16 octobre 2024, le conseil du recourant et de C. a transmis au MP-GE des déterminations au nom de cette dernière, sans indiquer qu’une éventuelle prise de position du recourant serait déposée ultérieurement (act. 1.13). Il sied dès lors de constater, à l’instar du MP-GE (act. 7, p. 2), que le recourant a bénéficié de plus de cinq semaines entre la première consultation du dossier et le prononcé entrepris pour faire valoir son droit d’être entendu. En effet, le recourant, qui a annoncé déposer sa</w:t>
      </w:r>
    </w:p>
    <w:p>
      <w:r>
        <w:t>- 7 -</w:t>
      </w:r>
    </w:p>
    <w:p>
      <w:r>
        <w:t>prise de position pour la mi-octobre, n’a pas requis qu’un délai formel lui soi octroyé ni même indiqué au MP-GE qu’il nécessitait plus de temps pour se déterminer. Dans ces circonstances, le recourant a disposé d’un délai suffisant pour lui permettre de concevoir et de rédiger une prise de position étayée (arrêt du Tribunal pénal fédéral RR.2016.186 du 27décembre 2016 consid. 2.1.3 et références citées). Pareil constat suffit à sceller le sort du grief, étant précisé en tout état de cause que si cela s’était avéré nécessaire, une éventuelle violation de l’obligation de motiver aurait pu être réparée dans le cadre du présent recours, la Cour de céans disposant du même pouvoir d’examen que l’autorité précédente (supra consid. 2.2; art. 49 let. a PA; TPF 2008 172 consid. 2.3; v. également ATF 142 II 218 consid. 2.8).</w:t>
      </w:r>
    </w:p>
    <w:p>
      <w:r>
        <w:rPr>
          <w:b/>
        </w:rPr>
        <w:t>E. 2.5</w:t>
      </w:r>
    </w:p>
    <w:p>
      <w:r>
        <w:t>Par conséquent, le grief, mal fondé, doit être rejeté.</w:t>
      </w:r>
    </w:p>
    <w:p>
      <w:r>
        <w:rPr>
          <w:b/>
        </w:rPr>
        <w:t>E. 3.1</w:t>
      </w:r>
    </w:p>
    <w:p>
      <w:r>
        <w:t>Selon le MP-GE, l’exposé de fait décrit par l’Etat requérant tombe a priori sous le coup de l’escroquerie fiscale au sens qu’en donne le droit suisse (art. 14 de la loi sur le droit pénal administratif [DPA]; RS 313; cf. act. 1.4). Le recourant estime que tel n’est pas le cas et que dès lors, la condition de la double incrimination n’est pas réalisée.</w:t>
      </w:r>
    </w:p>
    <w:p>
      <w:r>
        <w:rPr>
          <w:b/>
        </w:rPr>
        <w:t>E. 3.2</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jurisprudence citée). Pour interpréter la notion d’escroquerie fiscale au sens de l’art. 3 al. 3 let. a EIMP, il faut se référer à l’art. 14 al. 2 DPA (applicable par renvoi de l’art. 24 al. 1 OEIMP), et non pas à l’art. 186 de la loi fédérale sur l’impôt fédéral direct qui réprime l’usage de faux (LIFD; RS 642.11; cf. ATF 139 II 404 consid. 9.4 et la jurisprudence citée).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(ATF 115 Ib 68 consid. 3; arrêt du Tribunal pénal fédéral RR.2008.240 du 20 février 2009 consid. 4.2 et la jurisprudence citée).</w:t>
      </w:r>
    </w:p>
    <w:p>
      <w:r>
        <w:rPr>
          <w:b/>
        </w:rPr>
        <w:t>E. 3.3</w:t>
      </w:r>
    </w:p>
    <w:p>
      <w:r>
        <w:t>Il y a ainsi escroquerie à l’impôt lorsque le contribuable obtient une taxation injustement favorable, en recourant à des manœuvres frauduleuses tendant à faire naître une vision faussée de la réalité. Si la remise à l’autorité fiscale de titres inexacts ou incomplets constitue toujours une escroquerie fiscale – en raison de la foi particulière qui est attachée à ce type de</w:t>
      </w:r>
    </w:p>
    <w:p>
      <w:r>
        <w:t>- 8 -</w:t>
      </w:r>
    </w:p>
    <w:p>
      <w:r>
        <w:t>documents –, il faut encore envisager d’autres types de tromperie, lorsque l’intéressé recourt à des manœuvres frauduleuses ou à une mise en scène (par exemple, par la production d’une correspondance fictive, ou l’interposition d’une société de complaisance), lorsqu’il fait de fausses déclarations dont la vérification ne serait possible qu’au prix d’un effort particulier ou ne pourrait raisonnablement être exigée, ou lorsqu’il dissuade le fisc de les contrôler, prévoit qu’un tel contrôle ne pourrait se faire sans grand peine ou mise sur un rapport de confiance (arrêt du Tribunal pénal fédéral RR.2008.307-308 du 21 avril 2009 consid. 4.2 et la jurisprudence citée). Une attitude astucieuse, au sens de l’art. 14 al. 2 DPA, doit être admise en présence d’une société de domicile fondée dans le seul but de dissimuler des éléments pertinents du point de vue du droit fiscal et de tromper les autorités fiscales, si ces dernières ne peuvent que difficilement s’apercevoir de la tromperie (ATF 139 II 404 consid. 9.4 et la référence citée).</w:t>
      </w:r>
    </w:p>
    <w:p>
      <w:r>
        <w:rPr>
          <w:b/>
        </w:rPr>
        <w:t>E. 3.4</w:t>
      </w:r>
    </w:p>
    <w:p>
      <w:r>
        <w:t>Lorsqu’une demande est présentée, comme en l’espèce, pour la poursuite d’une escroquerie fiscale en matière d’impôt direct, la Suisse en tant qu’Etat requis déroge à la règle selon laquelle l’autorité d’exécution n’a pas à se déterminer sur la réalité des faits.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économique et fiscale (ATF 125 II 250 consid. 5b et les références citées; TPF 2008 128 consid. 5.5).</w:t>
      </w:r>
    </w:p>
    <w:p>
      <w:r>
        <w:rPr>
          <w:b/>
        </w:rPr>
        <w:t>E. 3.5</w:t>
      </w:r>
    </w:p>
    <w:p>
      <w:r>
        <w:t>En l’occurrence, il convient de rejeter le grief d’absence de double incrimination. En effet, concernant l’acquisition du bien immobilier à Londres, une structure complexe composée d’entités sises dans plusieurs pays et de rapports de fiducie a été mise en place et a à tout le moins pour effet de cacher l’identité de l’ayant droit économique du prêt. Le mécanisme exposé est de toute évidence opaque et propre en soi à permettre une dissimulation de substance fiscale difficilement détectable par l’autorité compétente, en dépit du fait que le prêt aurait, comme l’indique le recourant, réellement été mis à disposition de A. par D. SA et plus particulièrement par le dénommé G. Aussi, force est de constater, au regard des principes jurisprudentiels topiques, soit ceux relatifs aux sociétés de complaisance et de domicile, la présence de soupçons suffisants pour admettre a priori l’existence d’une escroquerie fiscale au sens de l’art. 14 DPA. C’est le lieu de préciser que l’autorité suisse saisie d'une requête ne s’écarte des faits décrits par l’autorité requérante qu’en cas d’erreurs, lacunes ou contradictions évidentes et immédiatement établies (ATF 107 Ib 264 consid. 3a; arrêt du Tribunal fédéral 1A.270/2006 du 13 mars 2007 consid. 2.1; arrêts du Tribunal pénal fédéral RR. 2015.182 du 11 novembre 2015, consid. 2.1;</w:t>
      </w:r>
    </w:p>
    <w:p>
      <w:r>
        <w:t>- 9 -</w:t>
      </w:r>
    </w:p>
    <w:p>
      <w:r>
        <w:t>RR.2008.69 du 14 août 2008 consid. 3) et que le recourant ne démontre pas que la demande litigieuse serait affectée de tels vices. Faire état de « soupçons suffisants » (cf. consid. 3.4) ne doit pas être compris au sens de « prouvé », dès lors qu’un fait prouvé ne serait plus un soupçon. Les explications du recourant quant à la réalité du prêt et l’inutilité de la remise des pièces bancaires traitent de questions de fait et de culpabilité qui n’ont pas à être tranchées par le juge de l’entraide, mais par le juge étranger compétent qui doit pouvoir le vérifier lui-même, sur le vu d’une documentation complète (ATF 118 Ib 547 consid. 3a et renvois; 117 Ib 90).</w:t>
      </w:r>
    </w:p>
    <w:p>
      <w:r>
        <w:t>Il s’ensuit que le grief, mal fondé, doit être rejeté.</w:t>
      </w:r>
    </w:p>
    <w:p>
      <w:r>
        <w:rPr>
          <w:b/>
        </w:rPr>
        <w:t>E. 4.1</w:t>
      </w:r>
    </w:p>
    <w:p>
      <w:r>
        <w:t>Le recourant invoque une violation du principe de la proportionnalité. Il s’oppose à la transmission de la documentation bancaire, inutile puisque l’état de fait décrit par l’Etat requérant concerne l’année 2010 et que la documentation à transmettre est postérieure à 2014. De plus, cette documentation ne met en évidence aucun transfert entre A., C. ou D. SA.</w:t>
      </w:r>
    </w:p>
    <w:p>
      <w:r>
        <w:rPr>
          <w:b/>
        </w:rPr>
        <w:t>E. 4.2.1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w:t>
      </w:r>
    </w:p>
    <w:p>
      <w:r>
        <w:t>- 10 -</w:t>
      </w:r>
    </w:p>
    <w:p>
      <w:r>
        <w:t>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905).</w:t>
      </w:r>
    </w:p>
    <w:p>
      <w:r>
        <w:rPr>
          <w:b/>
        </w:rPr>
        <w:t>E. 4.2.2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4.2.3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4.3.1</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pour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rPr>
          <w:b/>
        </w:rPr>
        <w:t>E. 4.3.2</w:t>
      </w:r>
    </w:p>
    <w:p>
      <w:r>
        <w:t>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 devant l’autorité de recours les arguments qu’il aurait négligé de soumettre à l’autorité d’exécution (ATF 126 II 258 consid. 9b). La personne touchée par la saisie de documents lui appartenant est dès lors tenue, sous peine de forclusion, d’indiquer à l’autorité quels documents ne devraient pas, selon elle, être transmis et pour quels motifs. À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à une position passive ou, par exemple, se borner à prétendre que le tri serait impossible à faire, en raison du caractère prétendument lacunaire de la demande (ATF 127 II 151 consid. 4c/aa; 126 II 258 précité consid. 9b/aa; arrêt du Tribunal fédéral 1A.216/2001 du 21 mars 2002 consid. 3.1 et 3.2; v. également arrêts du Tribunal pénal fédéral RR.2023.70 du 26 octobre 2023 consid. 2.1.3; RR.2021.33 du 9 août 2021 consid. 3.3; RR.2021.265 du 8 avril 2022 consid. 3.3.1; RR.2013.127 du 26 juin 2013 consid. 2.2.1; ZIMMERMANN, op. cit., n° 906).</w:t>
      </w:r>
    </w:p>
    <w:p>
      <w:r>
        <w:t>- 12 -</w:t>
      </w:r>
    </w:p>
    <w:p>
      <w:r>
        <w:rPr>
          <w:b/>
        </w:rPr>
        <w:t>E. 4.4.1</w:t>
      </w:r>
    </w:p>
    <w:p>
      <w:r>
        <w:t>En l’espèce, le recourant est titulaire et cotitulaire des valeurs patrimoniales déposées sur les relations bancaires concernées par la transmission. Il est expressément mentionné dans la demande d’entraide. Le compte dont il est cotitulaire avec son épouse C. est du reste nommément désigné. À ce propos, il convient de se ranger à l’argumentation du MP-GE selon laquelle la documentation bancaire relative aux comptes visés par le prononcé entrepris est de nature à fournir des informations pertinentes. Il existe donc un lien de connexité suffisant entre les informations à transmettre et l’état de fait de l’enquête pénale pour admettre la transmission de la documentation bancaire relative aux comptes du recourant, telle que répertoriée dans le dispositif du prononcé querellé. Le principe de l’utilité potentielle permet à l’autorité requise d’aller au-delà de la demande afin, notamment, d’éviter le dépôt de nouvelles requêtes (supra consid. 4.2.1). Cette façon de procéder est notamment justifiée par le devoir d’exhaustivité incombant à l’autorité d’exécution qui lui impose de transmettre tous les renseignements concernant de près ou de loin les infractions poursuivies, à charge, par la suite, pour l’autorité de poursuite d’examiner la pertinence des moyens de preuve fournis, ce d’autant que l’entraide vise non seulement à recueillir des preuves à charge, mais également à décharge (supra consid. 4.2.2). Il n’appartient ni à l’autorité d’exécution ni à l’autorité de recours de se substituer à l’autorité requérante dans l’appréciation de leur utilité effective pour l’enquête étrangère.</w:t>
      </w:r>
    </w:p>
    <w:p>
      <w:r>
        <w:rPr>
          <w:b/>
        </w:rPr>
        <w:t>E. 4.4.2</w:t>
      </w:r>
    </w:p>
    <w:p>
      <w:r>
        <w:t>Le MP-GE a, après avoir exclu de la remise des pièces sans lien avec A. et C., soumis au recourant le résultat de son tri pour qu’il se détermine (act. 1.8). Or, ce dernier n’a pas saisi l’occasion du présent recours pour fournir de motif d’opposition par rapport à l’une ou l’autre pièce. En se limitant, nonobstant l’opportunité qu’il a eue de le faire, à « renvoyer la balle » au MP-GE et à s’opposer à la transmission – laissant entendre que la documentation n’a pas été triée et que les pièces n’ont pas été inventoriées – sans précision des pièces et/ou documents individuels concernés, et à invoquer qu’ils ne sont pas pertinents ou utiles pour l’enquête étrangère qui souhaite seulement vérifier des flux remontant à 2010 et non ceux postérieurs, le recourant ne s’est pas conformé à son devoir de collaboration (supra consid. 4.3.2).</w:t>
      </w:r>
    </w:p>
    <w:p>
      <w:r>
        <w:rPr>
          <w:b/>
        </w:rPr>
        <w:t>E. 4.4.3</w:t>
      </w:r>
    </w:p>
    <w:p>
      <w:r>
        <w:t>Dès lors que la documentation bancaire dont le MP-GE envisage la transmission à l’autorité requérante correspond à celle requise par elle, il y a lieu d’admettre sa pertinence potentielle pour la procédure pénale étrangère, étant précisé que la présence de pièces effectivement non pertinentes est un inconvénient potentiel inhérent à ce genre de procédures, ne faisant pas obstacle à l’entraide.</w:t>
      </w:r>
    </w:p>
    <w:p>
      <w:r>
        <w:t>- 13 -</w:t>
      </w:r>
    </w:p>
    <w:p>
      <w:r>
        <w:rPr>
          <w:b/>
        </w:rPr>
        <w:t>E. 4.5</w:t>
      </w:r>
    </w:p>
    <w:p>
      <w:r>
        <w:t>Le grief tombe à faux.</w:t>
      </w:r>
    </w:p>
    <w:p>
      <w:r>
        <w:t>5. Au vu des considérations qui précèdent, le recours doit être rejeté.</w:t>
      </w:r>
    </w:p>
    <w:p>
      <w:r>
        <w:t>6. En tant qu’il succombe, le recourant doit supporter les frais du présent arrêt (art. 63 al. 1 PA, applicable par renvoi de l’art. 39 al. 2 let. b LOAP), lesquels sont fixés à CHF 5’000.-- (v. art. 73 al. 2 LOAP et art. 8 al. 3 du règlement du Tribunal pénal fédéral sur les frais, émoluments, dépens, et indemnités de la procédure pénale fédérale [RFPPF; RS 173.713.162]; art. 63 al. 5 PA), montant couvert par l’avance de frais versée.</w:t>
      </w:r>
    </w:p>
    <w:p>
      <w:r>
        <w:t>- 14 -</w:t>
      </w:r>
    </w:p>
    <w:p>
      <w:r>
        <w:rPr>
          <w:b/>
        </w:rPr>
        <w:t>E. 9</w:t>
      </w:r>
    </w:p>
    <w:p>
      <w:r>
        <w:t>mai 2018 consid. 4.2).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