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RR.2024.131 vom 6. August 2025</w:t>
      </w:r>
    </w:p>
    <w:p>
      <w:r>
        <w:t>Bundesstrafgericht, 2025-08-06, FR</w:t>
      </w:r>
    </w:p>
    <w:p>
      <w:r>
        <w:rPr>
          <w:b/>
        </w:rPr>
        <w:t xml:space="preserve">Quelle: </w:t>
      </w:r>
      <w:r>
        <w:t>https://mcp.opencaselaw.ch/entscheid/bstger_RR.2024.131</w:t>
      </w:r>
    </w:p>
    <w:p>
      <w:r>
        <w:t>FR: TPF RR.2024.131 du 6 août 2025</w:t>
      </w:r>
    </w:p>
    <w:p>
      <w:r>
        <w:t>IT: TPF RR.2024.131 del 6 agosto 2025</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ainsi que par le Deuxième Protocole additionnel à ladite Convention, entré en vigueur pour la Suisse le 1er février 2005 et pour l’Etat requérant le 1er octobre 2010 (RS 0.351.12). En l’espèce, trouvent également application les dispositions de la Convention relative au blanchiment, au dépistage, à la saisie et à la confiscation des produits du crime (CBl; RS 0.311.53), entrée en vigueur le 1er septembre 1993.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w:t>
      </w:r>
    </w:p>
    <w:p>
      <w:r>
        <w:t>- 5 -</w:t>
      </w:r>
    </w:p>
    <w:p>
      <w:r>
        <w:t>la de la loi fédérale sur la procédure administrative (PA; RS 172.021) sont, en outre, applicables à la présente procédure de recours (art. 12 al. 1 EIMP, art. 39 al. 2 let. b en lien avec l’art. 37 al. 2 let. a ch. 1 LOAP).</w:t>
      </w:r>
    </w:p>
    <w:p>
      <w:r>
        <w:rPr>
          <w:b/>
        </w:rPr>
        <w:t>E. 1.4</w:t>
      </w:r>
    </w:p>
    <w:p>
      <w:r>
        <w:t>Titulaire, respectivement cotitulaire des relations bancaires dont le MP-GE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18 novembre 2024, contre une décision notifiée le 18 octobre 2024, le recours a été déposé en temps utile (art. 80k EIMP).</w:t>
      </w:r>
    </w:p>
    <w:p>
      <w:r>
        <w:rPr>
          <w:b/>
        </w:rPr>
        <w:t>E. 1.6</w:t>
      </w:r>
    </w:p>
    <w:p>
      <w:r>
        <w:t>Le recours est recevable et il y a lieu d’entrer en matière.</w:t>
      </w:r>
    </w:p>
    <w:p>
      <w:r>
        <w:rPr>
          <w:b/>
        </w:rPr>
        <w:t>E. 2.1</w:t>
      </w:r>
    </w:p>
    <w:p>
      <w:r>
        <w:t>Selon le MP-GE, l’exposé des faits décrit par l’Etat requérant tombe a priori sous le coup de l’escroquerie fiscale au sens qu’en donne le droit suisse (art. 14 de la loi sur le droit pénal administratif [DPA]; RS 313; cf. act. 1.4). La recourante estime que tel n’est pas le cas et que par conséquent, la condition de la double incrimination n’est pas réalisée.</w:t>
      </w:r>
    </w:p>
    <w:p>
      <w:r>
        <w:rPr>
          <w:b/>
        </w:rPr>
        <w:t>E. 2.2</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jurisprudence citée). Pour interpréter la notion d’escroquerie fiscale au sens de l’art. 3 al. 3 let. a EIMP, il faut se référer à l’art. 14 al. 2 DPA (applicable par renvoi de l’art. 24 al. 1 OEIMP), et non pas à l’art. 186 de la loi fédérale sur l’impôt fédéral direct qui réprime l’usage de faux (LIFD; RS 642.11; cf. ATF 139 II 404 consid. 9.4 et la jurisprudence citée).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(ATF 115 Ib 68 consid. 3; arrêt du Tribunal pénal fédéral RR.2008.240 du 20 février 2009 consid. 4.2 et la jurisprudence citée).</w:t>
      </w:r>
    </w:p>
    <w:p>
      <w:r>
        <w:rPr>
          <w:b/>
        </w:rPr>
        <w:t>E. 2.3</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w:t>
      </w:r>
    </w:p>
    <w:p>
      <w:r>
        <w:t>- 6 -</w:t>
      </w:r>
    </w:p>
    <w:p>
      <w:r>
        <w:t>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 peine ou mise sur un rapport de confiance (arrêt du Tribunal pénal fédéral RR.2008.307-308 du 21 avril 2009 consid. 4.2 et la jurisprudence citée). Une attitude astucieuse, au sens de l’art. 14 al. 2 DPA, doit être admise en présence d’une société de domicile fondée dans le seul but de dissimuler des éléments pertinents du point de vue du droit fiscal et de tromper les autorités fiscales, si ces dernières ne peuvent que difficilement s’apercevoir de la tromperie (ATF 139 II 404 consid. 9.4 et la référence citée).</w:t>
      </w:r>
    </w:p>
    <w:p>
      <w:r>
        <w:rPr>
          <w:b/>
        </w:rPr>
        <w:t>E. 2.4</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économique et fiscale (ATF 125 II 250 consid. 5b et les références citées; TPF 2008 128 consid. 5.5).</w:t>
      </w:r>
    </w:p>
    <w:p>
      <w:r>
        <w:rPr>
          <w:b/>
        </w:rPr>
        <w:t>E. 2.5</w:t>
      </w:r>
    </w:p>
    <w:p>
      <w:r>
        <w:t>En l’occurrence, il convient de rejeter le grief d’absence de double incrimination. En effet, concernant l’acquisition du bien immobilier à Londres, une structure complexe composée d’entités sises dans plusieurs pays et de rapports de fiducie a été mise en place et a à tout le moins pour effet de cacher l’identité de l’ayant droit économique du prêt. Le mécanisme exposé est de toute évidence opaque et propre en soi à permettre une dissimulation de substance fiscale difficilement détectable par l’autorité compétente, en dépit du fait que le prêt aurait, comme l’indique la recourante, réellement été mis à disposition de B. par D. SA et plus particulièrement par le dénommé G. Aussi, force est de constater, au regard des principes jurisprudentiels topiques, soit ceux relatifs aux sociétés de complaisance et de domicile, la présence de soupçons suffisants pour admettre a priori l’existence d’une escroquerie fiscale au sens de l’art. 14 DPA. C’est le lieu de préciser que l’autorité suisse saisie d'une requête ne s’écarte des faits décrits par l’autorité requérante qu’en cas d’erreurs, lacunes ou contradictions évidentes et immédiatement établies (ATF 107 Ib 264 consid. 3a; arrêt du Tribunal fédéral 1A.270/2006 du 13 mars 2007 consid. 2.1; arrêts du</w:t>
      </w:r>
    </w:p>
    <w:p>
      <w:r>
        <w:t>- 7 -</w:t>
      </w:r>
    </w:p>
    <w:p>
      <w:r>
        <w:t>Tribunal pénal fédéral RR. 2015.182 du 11 novembre 2015, consid. 2.1; RR.2008.69 du 14 août 2008 consid. 3) et que la recourante ne démontre pas que la demande litigieuse serait affectée de tels vices. Faire état de « soupçons suffisants » (cf. consid. 2.4) ne doit pas être compris au sens de « prouvé », dès lors qu’un fait prouvé ne serait plus un soupçon. Les explications de la recourante quant à la réalité du prêt et l’inutilité de la remise des pièces bancaires traitent de questions de fait et de culpabilité qui n’ont pas à être tranchées par le juge de l’entraide, mais par le juge étranger compétent qui doit pouvoir le vérifier lui-même, sur le vu d’une documentation complète (ATF 118 Ib 547 consid. 3a et renvois; 117 Ib 90).</w:t>
      </w:r>
    </w:p>
    <w:p>
      <w:r>
        <w:t>Il s’ensuit que le grief, mal fondé, doit être rejeté.</w:t>
      </w:r>
    </w:p>
    <w:p>
      <w:r>
        <w:rPr>
          <w:b/>
        </w:rPr>
        <w:t>E. 3.1</w:t>
      </w:r>
    </w:p>
    <w:p>
      <w:r>
        <w:t>La recourante se prévaut du fait qu’elle n’est pas poursuivie dans l’Etat requérant et invoque une violation du principe de la proportionnalité. De son point de vue, c’est à dessein que l’autorité requérante n’a pas demandé la documentation bancaire de son compte (n. 3), qui ne doit pas être transmise car inutile. Elle s’oppose aussi à la transmission de celle relative au compte qu’elle codétient (n° 4) avec son mari, tout aussi inutile et démontrant en tous les cas l’absence de transfert entre B. et D. SA.</w:t>
      </w:r>
    </w:p>
    <w:p>
      <w:r>
        <w:rPr>
          <w:b/>
        </w:rPr>
        <w:t>E. 3.2.1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w:t>
      </w:r>
    </w:p>
    <w:p>
      <w:r>
        <w:t>- 8 -</w:t>
      </w:r>
    </w:p>
    <w:p>
      <w:r>
        <w:t>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6e éd. 2024, n° 905).</w:t>
      </w:r>
    </w:p>
    <w:p>
      <w:r>
        <w:rPr>
          <w:b/>
        </w:rPr>
        <w:t>E. 3.2.2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w:t>
      </w:r>
    </w:p>
    <w:p>
      <w:r>
        <w:t>- 9 -</w:t>
      </w:r>
    </w:p>
    <w:p>
      <w:r>
        <w:t>actes du même genre (arrêt du Tribunal pénal fédéral RR.2018.88-89 du 9 mai 2018 consid. 4.2).</w:t>
      </w:r>
    </w:p>
    <w:p>
      <w:r>
        <w:rPr>
          <w:b/>
        </w:rPr>
        <w:t>E. 3.3.1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pour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rPr>
          <w:b/>
        </w:rPr>
        <w:t>E. 3.3.2</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 La personne touchée par la saisie de documents lui appartenant est dès lors tenue, sous peine de forclusion, d’indiquer à l’autorité quels documents ne devraient pas, selon elle, être transmis et pour quels motifs. À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à une position passive ou, par exemple, se borner à prétendre que le tri serait impossible à faire, en raison du caractère prétendument lacunaire de la demande (ATF 127 II 151 consid. 4c/aa; 126 II 258 précité consid. 9b/aa; arrêt du Tribunal fédéral 1A.216/2001 du 21 mars 2002 consid. 3.1 et 3.2; v. également arrêts du Tribunal pénal fédéral RR.2023.70 du 26 octobre 2023 consid. 2.1.3;</w:t>
      </w:r>
    </w:p>
    <w:p>
      <w:r>
        <w:t>- 10 -</w:t>
      </w:r>
    </w:p>
    <w:p>
      <w:r>
        <w:t>RR.2021.33 du 9 août 2021 consid. 3.3; RR.2021.265 du 8 avril 2022 consid. 3.3.1; RR.2013.127 du 26 juin 2013 consid. 2.2.1; ZIMMERMANN, op. cit., n° 906).</w:t>
      </w:r>
    </w:p>
    <w:p>
      <w:r>
        <w:rPr>
          <w:b/>
        </w:rPr>
        <w:t>E. 3.4.1</w:t>
      </w:r>
    </w:p>
    <w:p>
      <w:r>
        <w:t>En l’espèce, la recourante est titulaire et cotitulaire des valeurs patrimoniales déposées sur les relations bancaires concernées par la transmission. Elle est expressément mentionnée dans la demande d’entraide. Le compte dont elle est cotitulaire avec son époux B. est du reste nommément désigné. À ce propos, il convient de se ranger à l’argumentation du MP-GE selon laquelle la documentation bancaire relative aux comptes visés par le prononcé entrepris est de nature à fournir des informations pertinentes, quand bien même la recourante n’est pas accusée dans l’Etat requérant. Il existe donc un lien de connexité suffisant entre les informations à transmettre et l’état de fait de l’enquête pénale pour admettre la transmission de la documentation bancaire relative aux comptes de la recourante, telle que répertoriée dans le dispositif du prononcé querellé. Le principe de l’utilité potentielle permet à l’autorité requise d’aller au-delà de la demande afin, notamment, d’éviter le dépôt de nouvelles requêtes (supra consid. 3.2.1).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(supra consid. 3.2.2). Il n’appartient ni à l’autorité d’exécution ni à l’autorité de recours de se substituer à l’autorité requérante dans l’appréciation de leur utilité effective pour l’enquête étrangère.</w:t>
      </w:r>
    </w:p>
    <w:p>
      <w:r>
        <w:rPr>
          <w:b/>
        </w:rPr>
        <w:t>E. 3.4.2</w:t>
      </w:r>
    </w:p>
    <w:p>
      <w:r>
        <w:t>Le MP-GE a, après avoir exclu de la remise des pièces sans lien avec B. et A., soumis à la recourante le résultat de son tri pour qu’elle se détermine (act. 1.8). Celle-ci s’est intégralement opposée à toute transmission, invoquant les mêmes motifs que ceux qu’elle avance dans son recours (act. 1.13). En se limitant, nonobstant l’invitation du MP-GE et les délais octroyés, à « renvoyer la balle » au MP-GE et à s’opposer à la transmission, soutenant que « la documentation […] n’apparaît pas avoir été triée […], ni ses pièces avoir été inventoriées pour détermination par [la recourante] », sans précision des pièces et/ou documents individuels concernés, et à invoquer qu’ils ne sont pas pertinents ou utiles pour l’enquête étrangère qui souhaite seulement vérifier des flux remontant à 2010 et non ceux postérieurs, la recourante ne s’est pas conformée à son devoir de collaboration (supra consid. 3.3.2).</w:t>
      </w:r>
    </w:p>
    <w:p>
      <w:r>
        <w:t>- 11 -</w:t>
      </w:r>
    </w:p>
    <w:p>
      <w:r>
        <w:rPr>
          <w:b/>
        </w:rPr>
        <w:t>E. 3.4.3</w:t>
      </w:r>
    </w:p>
    <w:p>
      <w:r>
        <w:t>Dès lors que la documentation bancaire dont le MP-GE envisage la transmission à l’autorité requérante correspond à celle requise par elle, il y a lieu d’admettre sa pertinence potentielle pour la procédure pénale étrangère, étant précisé que la présence de pièces effectivement non pertinentes est un inconvénient potentiel inhérent à ce genre de procédures, ne faisant pas obstacle à l’entraide.</w:t>
      </w:r>
    </w:p>
    <w:p>
      <w:r>
        <w:rPr>
          <w:b/>
        </w:rPr>
        <w:t>E. 3.5</w:t>
      </w:r>
    </w:p>
    <w:p>
      <w:r>
        <w:t>Le grief tombe à faux.</w:t>
      </w:r>
    </w:p>
    <w:p>
      <w:r>
        <w:rPr>
          <w:b/>
        </w:rPr>
        <w:t>E. 4</w:t>
      </w:r>
    </w:p>
    <w:p>
      <w:r>
        <w:t>Au vu des considérations qui précèdent, le recours doit être rejeté.</w:t>
      </w:r>
    </w:p>
    <w:p>
      <w:r>
        <w:rPr>
          <w:b/>
        </w:rPr>
        <w:t>E. 5</w:t>
      </w:r>
    </w:p>
    <w:p>
      <w:r>
        <w:t>En tant qu’elle succombe, la recourante doit supporter les frais du présent arrêt (art. 63 al. 1 PA, applicable par renvoi de l’art. 39 al. 2 let. b LOAP), lesquels sont fixés à CHF 5’000.-- (v. art. 73 al. 2 LOAP et art. 8 al. 3 du règlement du Tribunal pénal fédéral sur les frais, émoluments, dépens, et indemnités de la procédure pénale fédérale [RFPPF; RS 173.713.162]; art. 63 al. 5 PA), montant couvert par l’avance de frais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