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 vom 15. Mai 2024</w:t>
      </w:r>
    </w:p>
    <w:p>
      <w:r>
        <w:t>Bundesstrafgericht, 2024-05-15, FR</w:t>
      </w:r>
    </w:p>
    <w:p>
      <w:r>
        <w:rPr>
          <w:b/>
        </w:rPr>
        <w:t xml:space="preserve">Quelle: </w:t>
      </w:r>
      <w:r>
        <w:t>https://mcp.opencaselaw.ch/entscheid/bstger_RR.2024.13</w:t>
      </w:r>
    </w:p>
    <w:p>
      <w:r>
        <w:t>FR: TPF RR.2024.13 du 15 mai 2024</w:t>
      </w:r>
    </w:p>
    <w:p>
      <w:r>
        <w:t>IT: TPF RR.2024.13 del 15 maggio 2024</w:t>
      </w:r>
    </w:p>
    <w:p>
      <w:pPr>
        <w:pStyle w:val="Heading2"/>
      </w:pPr>
      <w:r>
        <w:t>Regeste</w:t>
      </w:r>
    </w:p>
    <w:p>
      <w:r>
        <w:t>Entraide judiciaire internationale en matière pénale à l'Etat du Qatar; remise de moyens de preuve (art. 74 EIMP); saisie conservatoire (art. 33a OEIMP)</w:t>
      </w:r>
    </w:p>
    <w:p>
      <w:pPr>
        <w:pStyle w:val="Heading2"/>
      </w:pPr>
      <w:r>
        <w:t>Erwägungen</w:t>
      </w:r>
    </w:p>
    <w:p>
      <w:r>
        <w:rPr>
          <w:b/>
        </w:rPr>
        <w:t>E. 1.1</w:t>
      </w:r>
    </w:p>
    <w:p>
      <w:r>
        <w:t>L’entraide judiciaire entre la Suisse et l’Etat du Qatar est régie par le Mémorandum entre le Conseil fédéral et le gouvernement de l’Etat du Qatar sur l’entraide judiciaire en matière pénale du 6 mars 2018 (MoU;</w:t>
      </w:r>
    </w:p>
    <w:p>
      <w:r>
        <w:t>- 4 -</w:t>
      </w:r>
    </w:p>
    <w:p>
      <w:r>
        <w:t>v. https://www.rhf.admin.ch/rhf/fr/home/strafrecht/rechtsgrundlagen/bilateral /katar-mou.html, consulté le 15 mai 2024). Vu les reproches de blanchiment d’argent objet de la demande d’entraide, s’appliquent, en l’espèce, les art. 43 ss et, en particulier, l’art. 46, par renvoi des art. 14 et 23, de la Convention des Nations Unies contre la corruption, conclue le 31 octobre 2003, entrée en vigueur pour l’Etat du Qatar le 1er mars 2007 et pour la Suisse le 24 octobre 2009 (UNCAC; RS 0.311.56), indépendamment de la nature du crime préalable.</w:t>
      </w:r>
    </w:p>
    <w:p>
      <w:r>
        <w:rPr>
          <w:b/>
        </w:rPr>
        <w:t>E. 1.2</w:t>
      </w:r>
    </w:p>
    <w:p>
      <w:r>
        <w:t>Les dispositions du Mémorandum et du traité précités l'emportent sur le droit interne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droit international et lorsqu'il est plus favorable à l'entraide (ATF 147 II 432 consid. 3; 145 IV 294 consid. 2.1; 142 IV 250 consid. 3; 140 IV 123 consid. 2; 137 IV 33 consid. 2.2.2; 129 II 462 consid. 1.1; 124 II 180 consid. 1.3).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du 20 décembre 1968 sur la procédure administrative (PA; RS 172.021) sont, en outre, applicables à la présente procédure de recours (art. 12 al. 1 EIMP, art. 39 al. 2 let. b en lien avec l’art. 37 al. 2 let. a ch. 1 LOAP).</w:t>
      </w:r>
    </w:p>
    <w:p>
      <w:r>
        <w:rPr>
          <w:b/>
        </w:rPr>
        <w:t>E. 1.4.1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w:t>
      </w:r>
    </w:p>
    <w:p>
      <w:r>
        <w:t>- 5 -</w:t>
      </w:r>
    </w:p>
    <w:p>
      <w:r>
        <w:t>et de la disjonction des causes (BOVAY, Procédure administrative, 2e éd. 2015, p. 218 et s.). Bien qu'elle ne soit pas prévue par la PA, l'institution de la jonction des causes est néanmoins admise en pratique (v. arrêts du Tribunal pénal fédéral RR.2008.190 du 26 février 2009 consid. 1; RR.2008.216+RR.2008.225-230 du 20 novembre 2008 consid. 1.2).</w:t>
      </w:r>
    </w:p>
    <w:p>
      <w:r>
        <w:rPr>
          <w:b/>
        </w:rPr>
        <w:t>E. 1.4.2</w:t>
      </w:r>
    </w:p>
    <w:p>
      <w:r>
        <w:t>En l'espèce, les trois recours sont interjetés à l'encontre de décisions de clôture dont l’argumentation est, presque en tous points, similaire et qui reposent sur le même complexe de faits. Seule la décision de clôture rendue à l’encontre de la société recourante diffère, en l’absence de séquestre sur les avoirs de la relation bancaire à son nom. Ce nonobstant, les recourantes, représentées par le même avocat, invoquent des arguments et prennent des conclusions identiques, exception faite, pour la société recourante, du grief de violation du principe de la proportionnalité (v. infra consid. 4) et de la conclusion relative à la levée du séquestre. Dans la mesure où elles ne font pas valoir d'intérêts contradictoires qui commanderaient un prononcé séparé, il se justifie de joindre les causes RR.2024.13, RR.2024.14 et RR.2024.15.</w:t>
      </w:r>
    </w:p>
    <w:p>
      <w:r>
        <w:rPr>
          <w:b/>
        </w:rPr>
        <w:t>E. 1.5</w:t>
      </w:r>
    </w:p>
    <w:p>
      <w:r>
        <w:t>Chaque recourante dispose de la qualité pour recourir contre le prononcé entrepris qui concerne la relation bancaire dont elle est titulaire (art. 80h let. b EIMP et 9a let. a et b OEIMP; ATF 137 IV 134 consid. 5; 118 Ib 547 consid. 1d).</w:t>
      </w:r>
    </w:p>
    <w:p>
      <w:r>
        <w:rPr>
          <w:b/>
        </w:rPr>
        <w:t>E. 1.6</w:t>
      </w:r>
    </w:p>
    <w:p>
      <w:r>
        <w:t>Interjetés le 26 février 2024, contre des décisions notifiées le 25 janvier 2024, les recours ont été déposés en temps utile (art. 80k EIMP).</w:t>
      </w:r>
    </w:p>
    <w:p>
      <w:r>
        <w:rPr>
          <w:b/>
        </w:rPr>
        <w:t>E. 1.7</w:t>
      </w:r>
    </w:p>
    <w:p>
      <w:r>
        <w:t>Les recours sont recevables et il y a lieu d’entrer en matière.</w:t>
      </w:r>
    </w:p>
    <w:p>
      <w:r>
        <w:rPr>
          <w:b/>
        </w:rPr>
        <w:t>E. 2</w:t>
      </w:r>
    </w:p>
    <w:p>
      <w:r>
        <w:t>Dans un grief qu’il convient d’examiner en premier lieu, vu sa nature formelle, les recourantes se prévalent d’une violation de leur droit d’être entendu. Elles reprochent au MPC de ne pas leur avoir transmis l’accès complet au dossier d’entraide, en particulier la demande d’entraide en version arabe. Elles se plaignent également de l’absence de certification conforme de la traduction (RR.2024.13, act. 1, p. 21 ss; RR.2024.14, act. 1, p. 24 s; RR.2024.15, act. 1, p. 20 ss).</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w:t>
      </w:r>
    </w:p>
    <w:p>
      <w:r>
        <w:t>- 6 -</w:t>
      </w:r>
    </w:p>
    <w:p>
      <w:r>
        <w:t>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2.1.3</w:t>
      </w:r>
    </w:p>
    <w:p>
      <w:r>
        <w:t>Selon l’art. 28 al. 5 EIMP, les demandes et leurs annexes doivent être présentées en allemand, en français ou en italien, ou accompagnées d’une traduction dans une de ces langues. Les traductions doivent être officiellement certifiées conformes. A teneur de l’art. 11 MoU, les autorités centrales peuvent communiquer entre elles en anglais (ch. 1). Les demandes d’entraide et leurs pièces jointes sont dans l’idéal accompagnées d’une</w:t>
      </w:r>
    </w:p>
    <w:p>
      <w:r>
        <w:t>- 7 -</w:t>
      </w:r>
    </w:p>
    <w:p>
      <w:r>
        <w:t>traduction dans l’une des langues officielles de l’État requis (ch. 2). Si un cas est urgent ou si les autorités centrales en ont convenu ainsi, les demandes d’entraide et leurs pièces jointes peuvent être transmises en anglais (ch. 3). Les autres documents visés par le présent mémorandum sont dans l’idéal transmis en anglais (ch. 4). Selon la déclaration faite par la Suisse, en application de l’art. 46 ch. 14 UNCAC, les demandes d’entraide judiciaire et les documents qui y sont joints doivent être adressés à la Suisse en même temps que leur traduction certifiée conforme en français, allemand ou italien, s’ils n’ont pas été établis dans l’une de ces langues.</w:t>
      </w:r>
    </w:p>
    <w:p>
      <w:r>
        <w:rPr>
          <w:b/>
        </w:rPr>
        <w:t>E. 2.2</w:t>
      </w:r>
    </w:p>
    <w:p>
      <w:r>
        <w:t>En l’espèce, seule figure au dossier d’entraide la version allemande de la demande qatarie et c’est uniquement, comme il le précise, sur ce document en allemand que le MPC s’est fondé pour admettre l’entraide et rendre les prononcés entrepris. En outre, dans la mesure où, selon le principe de faveur (v. supra consid. 1.2), ni l’art. 28 al. 5 EIMP, ni l’art. 11 MoU, n’exigent la production de la version en langue arabe, les recourantes ne le peuvent pas non plus (v. arrêt du Tribunal fédéral 1A.276/2003 du 27 janvier 2004 consid. 2.1; arrêts du Tribunal pénal fédéral RR.2012.273 du 9 juillet 2013 consid. 5.1; RR.2020.256 du 26 mars 2021 consid. 4.2.2). Cela étant, au- delà des erreurs dans la manière d’orthographier l’un des prénoms de l’une des recourantes et le nom d’une société J., selon les recourantes), les recourantes se contentent de constater, sans autre développement, que la traduction serait de mauvaise qualité, mais ne prétendent pas avoir compris le sens et la portée de l'entraide requise différemment de ce que ne l’a fait l’autorité d’exécution.</w:t>
      </w:r>
    </w:p>
    <w:p>
      <w:r>
        <w:rPr>
          <w:b/>
        </w:rPr>
        <w:t>E. 2.3</w:t>
      </w:r>
    </w:p>
    <w:p>
      <w:r>
        <w:t>Ces considérations s’appliquent également s’agissant de l’absence alléguée de certification conforme de la traduction.</w:t>
      </w:r>
    </w:p>
    <w:p>
      <w:r>
        <w:rPr>
          <w:b/>
        </w:rPr>
        <w:t>E. 2.3.1</w:t>
      </w:r>
    </w:p>
    <w:p>
      <w:r>
        <w:t>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consid. 3b cc). Bien que l’existence d’une certification conforme ne soit pas une prescription d’ordre, son absence ne constitue pas pour autant un vice grave entraînant l’irrecevabilité de la requête (v. arrêt du Tribunal fédéral 1A.240/1999 du 17 mars 2000 consid. 2b; arrêts du Tribunal pénal fédéral RR.2019.299, RR.2019.338, RP.2019.56 du 15 février 2020 consid. 8 et références citées). Selon la jurisprudence, la coopération n’est refusée que si l’absence de traduction empêche l’autorité de traiter correctement la demande, porte atteinte aux droits de la personne poursuivie ou participe d’un comportement abusif de la part de l’Etat requérant (arrêts</w:t>
      </w:r>
    </w:p>
    <w:p>
      <w:r>
        <w:t>- 8 -</w:t>
      </w:r>
    </w:p>
    <w:p>
      <w:r>
        <w:t>du Tribunal fédéral 1A.248/2006 du 1er février 2006 consid. 2.2; 1A.56/2000 du 17 avril 2000 consid. 2b).</w:t>
      </w:r>
    </w:p>
    <w:p>
      <w:r>
        <w:rPr>
          <w:b/>
        </w:rPr>
        <w:t>E. 2.3.2</w:t>
      </w:r>
    </w:p>
    <w:p>
      <w:r>
        <w:t>S’il n’est, en l’état, pas possible de déterminer si la traduction remise par l’Etat requérant est accompagnée d’une certification conforme, vu les mentions en arabe sur le timbre officiel figurant aux deux dernières pages du document (RR.2024.13, RR.2024.14 et RR.2024.15, act. 1.2, p. 10 et 11), il n’en va pas pour autant d’un motif de refus de l'entraide. En effet, même sans certification conforme de la traduction officielle fournie et malgré les erreurs d’orthographe rectifiées par les recourantes, il est en l’occurrence aisé de comprendre l’état de faits à la base de la demande qatarie, comme l’ont fait le MPC et les recourantes, lequel ne diverge d’ailleurs pas de celui figurant dans le document intitulé « Annex 3 – Qatari Court Ruling on Appel March 2020 » (p. 5 s.), soit une décision judiciaire du 9 mars 2020 dans la cause opposant D. GmbH à l’Autorité de régulation du centre financier du Qatar, versé au dossier du MPC, sous la même rubrique que la demande d’entraide (dossier MPC, onglet n. 2, rubrique n. 1).</w:t>
      </w:r>
    </w:p>
    <w:p>
      <w:r>
        <w:rPr>
          <w:b/>
        </w:rPr>
        <w:t>E. 2.4</w:t>
      </w:r>
    </w:p>
    <w:p>
      <w:r>
        <w:t>Il y a ainsi lieu d’admettre, avec le MPC, que les recourantes ont eu accès – comme la Cour de céans – aux pièces pertinentes du dossier d’entraide les concernant, sur la base desquelles elles ont été en mesure de comprendre et d’attaquer efficacement les décisions de clôture querellées, puisqu’elles ont formulé des reproches bien précis et argumentés, traités dans le présent arrêt (v. infra consid. 3 s.). Ce qui scelle le sort du grief.</w:t>
      </w:r>
    </w:p>
    <w:p>
      <w:r>
        <w:rPr>
          <w:b/>
        </w:rPr>
        <w:t>E. 3</w:t>
      </w:r>
    </w:p>
    <w:p>
      <w:r>
        <w:t>De l’avis des recourantes, les faits décrits dans la demande d’entraide ne permettraient pas de retenir en droit suisse, comme l’a fait le MPC, dans ses prononcés d’entrée en matière et de clôture, les infractions de blanchiment d’argent, d’abus de confiance ou le délit fiscal qualifié (RR.2024.13 et RR.2024.15, act. 1, p. 24 ss; RR.2024.14, act. 1, p. 32 ss).</w:t>
      </w:r>
    </w:p>
    <w:p>
      <w:r>
        <w:rPr>
          <w:b/>
        </w:rPr>
        <w:t>E. 3.1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ATF 145 IV 294 consid. 2.2;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w:t>
      </w:r>
    </w:p>
    <w:p>
      <w:r>
        <w:t>- 9 -</w:t>
      </w:r>
    </w:p>
    <w:p>
      <w:r>
        <w:t>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w:t>
      </w:r>
    </w:p>
    <w:p>
      <w:r>
        <w:rPr>
          <w:b/>
        </w:rPr>
        <w:t>E. 3.2.1</w:t>
      </w:r>
    </w:p>
    <w:p>
      <w:r>
        <w:t>Selon l’art. 305bis ch. 1 CP (blanchiment d’argent), celui qui aura commis un acte propre à entraver l’identification de l’origine, la découverte ou la confiscation de valeurs patrimoniales dont il savait ou devait présumer qu’elles provenaient d’un crime (art. 10 al. 2 CP) ou d’un délit fiscal qualifié, sera puni d’une peine privative de liberté de trois ans au plus ou d’une peine pécuniaire.</w:t>
      </w:r>
    </w:p>
    <w:p>
      <w:r>
        <w:rPr>
          <w:b/>
        </w:rPr>
        <w:t>E. 3.2.2</w:t>
      </w:r>
    </w:p>
    <w:p>
      <w:r>
        <w:t>Dans sa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1C_722/2020 du 20 janvier 2021 consid. 2.6; 1C_126/2014 du 16 mai 2014 consid. 4.4; 1A.231/2003 du 6 février 2004 consid. 5.3; TPF 2011 194 consid. 2.1 in fine; v. ég. ZIMMERMANN, op. cit., n. 602). Envers les Etats cocontractants de l’UNCAC (v. supra consid. 1.1), la Suisse doit ainsi pouvoir accorder sa</w:t>
      </w:r>
    </w:p>
    <w:p>
      <w:r>
        <w:t>- 10 -</w:t>
      </w:r>
    </w:p>
    <w:p>
      <w:r>
        <w:t>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3.3</w:t>
      </w:r>
    </w:p>
    <w:p>
      <w:r>
        <w:t>En l’espèce, les autorités qatariennes soupçonnent les directeurs de D. GmbH de blanchiment d’argent pour une somme d’EUR 11'328'785.44, reçue les 23 août et 7 septembre 2017 sur les comptes de cette société auprès de la banque E. de la société F. Ltd, de siège à l’Île Maurice. Une partie de ces fonds auraient ensuite été transférés, les 17, 31 janvier et 21 février 2018, vers les comptes détenus par les deux personnes physiques recourantes B. et A. (ci-après: les deux recourantes) près la banque G., en Suisse (v. supra Faits, let. A). Comme l’a exposé l’Etat requérant, puis le MPC dans ses décisions querellées, tant les transactions à hauteur d’EUR 11'328'785.44 sur les comptes de D. GmbH près la banque E. que celles effectuées ensuite sur les comptes en Suisse de deux recourantes près la banque G. semblent suspectes et dénuées de justification apparente, vu la documentation fournie a posteriori pour expliquer l’arrière-plan économique des versements d’EUR 11'328'785.44. La documentation en question consisterait en un accord transactionnel, conclu entre les deux recourantes et une troisième personne, H., d’une part, et un certain I., d’autre part, aux fins de restitution d’une somme d’EUR 17'000'000.--. I. serait employé de la société recourante C. Ltda, appartenant à la société holding J., dans laquelle les deux recourantes et H. détiendraient des parts. Alors qu’il aurait été chargé, par ces dernières, en tant que mandataire de la société J., de récolter, auprès de clients de la société K., sise à Dubaï, des sommes d’argent qu’il devait ensuite reverser à la société J., I. aurait indûment encaissé EUR 19'450'383.--. L’accord transactionnel aurait dû intervenir entre la société J. et I., serait exempt de date et de lieu et renverrait au droit mauricien, alors qu’aucune des parties n’aurait de lien avec l’Île Maurice. De plus, pour l’exécution de cet accord, une somme d’EUR 340'000.-- aurait été versée à titre de commission à la société mauricienne F. Ltd, société sans lien avec la société J., active dans le domaine des appareils électriques et qui serait soupçonnée de blanchir de l’argent issu de jeux de hasard non déclarés. Le montant prévu par l’accord devait être versé sur une des relations détenues par les deux recourantes ou leurs sociétés et non sur celle de D. GmbH. L’Etat requérant fait état d’une</w:t>
      </w:r>
    </w:p>
    <w:p>
      <w:r>
        <w:t>- 11 -</w:t>
      </w:r>
    </w:p>
    <w:p>
      <w:r>
        <w:t>procédure pénale menée, notamment, contre I. et la société K., pour détournement de CAD 18'157'927.-- (EUR 12'676'340.--) des comptes de deux sociétés plaignantes, actives dans le domaine des jeux de hasard et détenues par les deux recourantes. L’Etat requérant soupçonne la somme d’EUR 11'328'785.44 de provenir de jeux de hasard non déclarés et d’avoir été versée sur la relation de D. GmbH aux fins d’éluder l’impôt dû au Panama. En effet, si la société K. avait directement versé cette somme depuis son compte sur celui de la société J., au Panama, avec qui elle est en relation d’affaires, des impôts sur les jeux d’argent auraient dû être payés. Par ailleurs, les deux recourantes auraient, en 2017, conclu des contrats pour la création de deux fonds d’investissements au Qatar, administrés par D. GmbH. Le schéma décrit aurait ainsi eu pour but de laisser croire que l’argent touché par les deux recourantes sur leurs comptes en Suisse provenait de fonds d’investissements, administrés par D. GmbH, dans lesquels elles avaient investi (act. 1.1 et 1.2).</w:t>
      </w:r>
    </w:p>
    <w:p>
      <w:r>
        <w:rPr>
          <w:b/>
        </w:rPr>
        <w:t>E. 3.4</w:t>
      </w:r>
    </w:p>
    <w:p>
      <w:r>
        <w:t>À l’aune du principe de la double incrimination, l'existence de transactions dénuées de justification apparente, l'utilisation de divers sociétés et comptes en banque, répartis dans plusieurs pays, l’importance des sommes entrant en ligne de compte, constituent des indices suffisants, permettant objectivement de soupçonner des actes blanchiment d’argent (art. 305bis CP; v. supra consid. 3.2.2). Dès lors que la réunion des éléments constitutifs objectifs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 v. supra consid. 3.1).</w:t>
      </w:r>
    </w:p>
    <w:p>
      <w:r>
        <w:rPr>
          <w:b/>
        </w:rPr>
        <w:t>E. 3.5</w:t>
      </w:r>
    </w:p>
    <w:p>
      <w:r>
        <w:t>Cela étant, à titre superfétatoire, l’état de fait de la demande est également susceptible de réaliser les éléments constitutifs d’autres infractions. En effet, l’accord de base, par lequel les deux recourantes et H. ont chargé I., en tant que mandataire de la société J. d’encaisser de l’argent pour cette société, présuppose un pouvoir de gestion et/ou de représentation de cette société de la part de ces dernières. Ainsi, l’accord transactionnel, en tant qu’il prévoit la restitution d’une somme d’EUR 17 millions aux deux recourantes et à H., et non à la société J., au détriment de laquelle EUR 19 millions ont été détournés, est susceptible de constituer, prima facie, l’infraction d’abus de confiance (art. 138 CP) ou de gestion déloyale aggravée (art. 158 ch. 1 al. 3 ou ch. 2 CP); en l’absence d’un tel pouvoir des deux recourantes et de H. dans la société J., l’infraction de vol (art. 139 CP).</w:t>
      </w:r>
    </w:p>
    <w:p>
      <w:r>
        <w:rPr>
          <w:b/>
        </w:rPr>
        <w:t>E. 3.6</w:t>
      </w:r>
    </w:p>
    <w:p>
      <w:r>
        <w:t>Le grief tombe à faux.</w:t>
      </w:r>
    </w:p>
    <w:p>
      <w:r>
        <w:t>- 12 -</w:t>
      </w:r>
    </w:p>
    <w:p>
      <w:r>
        <w:t>4. La société recourante invoque une violation du principe de proportionnalité, au motif que, bien que citée dans la demande d’entraide, aucun reproche et aucune requête ne sont formulés à son endroit par l’Etat requérant. Ainsi, les informations la concernant ne lui seraient d’aucune utilité (RR.2024.14, act. 1, p. 27 ss).</w:t>
      </w:r>
    </w:p>
    <w:p>
      <w:r>
        <w:t>4.1</w:t>
      </w:r>
    </w:p>
    <w:p>
      <w:r>
        <w:t>4.1.1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w:t>
      </w:r>
    </w:p>
    <w:p>
      <w:r>
        <w:t>- 13 -</w:t>
      </w:r>
    </w:p>
    <w:p>
      <w:r>
        <w:t>du mécanisme délictueux poursuivi dans l’Etat requérant (arrêts du Tribunal pénal fédéral RR.2010.173 du 13 octobre 2010 consid. 4.2.4/a et RR.2009.320 du 2 février 2010 consid. 4.1; ZIMMERMANN, op. cit., n. 723 et s.).</w:t>
      </w:r>
    </w:p>
    <w:p>
      <w:r>
        <w:t>4.1.2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4.1.3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5</w:t>
      </w:r>
    </w:p>
    <w:p>
      <w:r>
        <w:t>octobre 2017 consid. 3.1.1; RR.2014.75-76 du 5 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9</w:t>
      </w:r>
    </w:p>
    <w:p>
      <w:r>
        <w:t>mai 2018 consid. 4.2).</w:t>
      </w:r>
    </w:p>
    <w:p>
      <w:r>
        <w:t>4.2 En l’espèce, la société recourante est nommée dans la demande d’entraide: I. en serait employé et elle appartiendrait à la société J. dans laquelle les deux autres recourantes (ainsi que H.) détiennent des parts. En outre, l’Etat requérant précise que le montant prévu par l’accord transactionnel devait être versé sur une des relations détenues par les deux recourantes ou leurs sociétés (v. supra consid. 3.3). Selon les formulaires K de la relation bancaire au nom de la société recourante, datés du 26 janvier 2018, les deux autres recourantes (ainsi que H.) sont détentrices de la société recourante (chacune à hauteur de 33,33 % des actions) et ayant-droit économiques des avoirs déposés sur ladite relation (RR.2024.14, dossier MPC, onglet n. 1; RR.2024.14, act. 1.4). Comme le relève le MPC dans son prononcé entrepris, deux versements, d’EUR 10'000.-- et 130'000.--, ont été effectués,</w:t>
      </w:r>
    </w:p>
    <w:p>
      <w:r>
        <w:t>- 14 -</w:t>
      </w:r>
    </w:p>
    <w:p>
      <w:r>
        <w:t>les 9 novembre et 28 décembre 2018, du compte de la société recourante vers un compte de la société J. au Panama (act. 1.1), société dont les recourantes soutiennent qu’il s’agit de la société J.</w:t>
      </w:r>
    </w:p>
    <w:p>
      <w:r>
        <w:t>4.3 Partant, il existe un lien de connexité suffisant entre les informations à transmettre et l’état de fait de l’enquête pénale qatarie pour admettre la transmission de la documentation bancaire relative au compte de la société recourante près la banque G., telle que répertoriée dans le dispositif du prononcé querellé. Le principe de l’utilité potentielle permet à l’autorité requise d’aller au-delà de la demande afin, notamment, d’éviter le dépôt de nouvelles requêtes,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(v. supra consid. 4.1.2). Il n’appartient ni à l’autorité d’exécution ni à l’autorité de recours de se substituer à l’autorité requérante dans l’appréciation de leur utilité effective pour l’enquête étrangère. Le grief est inopérant.</w:t>
      </w:r>
    </w:p>
    <w:p>
      <w:r>
        <w:t>5. Au vu de ce qui précède, la remise à l’Etat requérant de la documentation bancaire relative aux relations n. 1 au nom de A., n. 2 au nom de B. et n. 3 au nom de C. Ltda, de même que le maintien des séquestres prononcés à hauteur d’EUR 1'800'000.-- sur les avoirs déposés sur la première relation et d’EUR 2'750'000.-- sur la seconde sont conformes au droit. Ces deux montants représentent le total des versements effectués depuis des comptes qatariens de la société D. GmbH, de ses filiales ou fonds d’investissements sur les deux relations concernées (un versement sur la première le 22 février 2018 et trois sur la seconde les 17, 31 janvier et 22 février 2018; RR.2024.13, RR.2024.14 et RR.2024.15, act. 1.1 et 1.2; RR.2024.13 et RR.2024.15, act. 1.4; RR.2024.14, act. 1.5). 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6. Mal fondés, les recours sont rejetés.</w:t>
      </w:r>
    </w:p>
    <w:p>
      <w:r>
        <w:t>- 15 -</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des recourantes qui succombent. En l’espèce, l’émolument judiciaire, calculé conformément aux art. 5 et 8 al. 3 let. b du règlement sur les frais, émoluments, dépens et indemnités de la procédure pénale fédérale (RFPPF; RS 173.713.162; v. art. 63 al. 5 PA) est fixé à CHF 13'000.--, montant couvert par les avances de frais déjà versées, et mis à la charge solidaire des recourantes. La caisse du Tribunal pénal fédéral leur restituera le solde de CHF 6'000.--.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