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RR.2024.125 vom 18. Juli 2025</w:t>
      </w:r>
    </w:p>
    <w:p>
      <w:r>
        <w:t>Bundesstrafgericht, 2025-07-18, FR</w:t>
      </w:r>
    </w:p>
    <w:p>
      <w:r>
        <w:rPr>
          <w:b/>
        </w:rPr>
        <w:t xml:space="preserve">Quelle: </w:t>
      </w:r>
      <w:r>
        <w:t>https://mcp.opencaselaw.ch/entscheid/bstger_RR.2024.125</w:t>
      </w:r>
    </w:p>
    <w:p>
      <w:r>
        <w:t>FR: TPF RR.2024.125 du 18 juillet 2025</w:t>
      </w:r>
    </w:p>
    <w:p>
      <w:r>
        <w:t>IT: TPF RR.2024.125 del 18 luglio 2025</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w:t>
      </w:r>
    </w:p>
    <w:p>
      <w:r>
        <w:t>- 4 -</w:t>
      </w:r>
    </w:p>
    <w:p>
      <w:r>
        <w:t>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Peuvent en outre s’appliquer, s’agissant du blanchiment d’argent (indépendamment de la nature du crime préalable), les art. 43 ss, en particulier l’art. 46 (par renvoi des art. 14 et 23) de la Convention des Nations Unies contre la corruption du 31 octobre 2003, en vigueur pour la Suisse depuis le 24 octobre 2009 et pour le Portugal dès le 28 octobre 2007 (UNCAC; RS 0.311.56). Les art. 48 ss de la Convention d’application de l’Accord de Schengen du 14 juin 1985 (CAAS; n° CELEX 42000A0922[02]; Journal officiel de l’Union européenne L 239 du 22 septembre 2000, p. 19- 62) s’appliquent également à l’entraide pénale entre la Suisse et le Portugal (v. arrêt du Tribunal pénal fédéral RR.2011.232-234 du 11 octobre 2011 consid. 1).</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48 par. 2 CAAS).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w:t>
      </w:r>
    </w:p>
    <w:p>
      <w:r>
        <w:t>- 5 -</w:t>
      </w:r>
    </w:p>
    <w:p>
      <w:r>
        <w:t>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du 20 décembre 1968 (PA; RS 172.021) sont, en outre, applicables à la présente procédure de recours (art. 12 al. 1 EIMP, art. 39 al. 2 let. b en lien avec l’art. 37 al. 2 let. a ch. 1 LOAP).</w:t>
      </w:r>
    </w:p>
    <w:p>
      <w:r>
        <w:rPr>
          <w:b/>
        </w:rPr>
        <w:t>E. 1.4</w:t>
      </w:r>
    </w:p>
    <w:p>
      <w:r>
        <w:t>Titulaires des relations bancaires dont le MP-GE ordonne la transmission de la documentation à l’Etat requérant, les recourants disposent de la qualité pour recourir contre le prononcé entrepris (art. 80h let. b EIMP et 9a let. a et b OEIMP; ATF 137 IV 134 consid. 5; 118 Ib 547 consid. 1d).</w:t>
      </w:r>
    </w:p>
    <w:p>
      <w:r>
        <w:rPr>
          <w:b/>
        </w:rPr>
        <w:t>E. 1.5</w:t>
      </w:r>
    </w:p>
    <w:p>
      <w:r>
        <w:t>Interjeté le 11 novembre 2024, contre une décision notifiée le 10 octobre 2024, le recours a été déposé en temps utile (art. 80k EIMP).</w:t>
      </w:r>
    </w:p>
    <w:p>
      <w:r>
        <w:rPr>
          <w:b/>
        </w:rPr>
        <w:t>E. 1.6</w:t>
      </w:r>
    </w:p>
    <w:p>
      <w:r>
        <w:t>Le recours est recevable et il y a lieu d’entrer en matière.</w:t>
      </w:r>
    </w:p>
    <w:p>
      <w:r>
        <w:rPr>
          <w:b/>
        </w:rPr>
        <w:t>E. 2.1</w:t>
      </w:r>
    </w:p>
    <w:p>
      <w:r>
        <w:t>Les recourants soulèvent l’objection tirée de la règle ne bis in idem pour les faits antérieurs au 15 novembre 2015. Ils mentionnent en particulier les art. 5 al. 1 let. b EIMP et 54 CAAS. Les poursuites pénales au Portugal devraient selon eux être abandonnées en raison d’une loi angolaise du 12 août 2016 portant amnistie d’infractions commises jusqu’au 15 novembre 2015 et passibles de sanctions jusqu’à douze ans. Cette amnistie aurait pour conséquence l’impossibilité d’une condamnation pénale au Portugal et donc l’irrecevabilité de l’entraide. Les recourants produisent un avis consultatif sur l’interprétation de cette loi qui arrive à cette conclusion (act. 1.6).</w:t>
      </w:r>
    </w:p>
    <w:p>
      <w:r>
        <w:rPr>
          <w:b/>
        </w:rPr>
        <w:t>E. 2.2</w:t>
      </w:r>
    </w:p>
    <w:p>
      <w:r>
        <w:t>Non visée dans l’enquête portugaise, la société B. Corp, société des Bahamas (cf. act. 5.2), ne peut se prévaloir du principe ne bis in idem au seul motif que son ayant droit y est, lui, mis en cause (cf. arrêt du Tribunal fédéral 1A.5/2007 du 25 janvier 2008 consid. 3.5; arrêt du Tribunal pénal fédéral RR.2012.28 du 29 novembre 2012 consid. 5 et références citées; ZIMMERMANN, La coopération judiciaire internationale en matière pénale, 6e éd. 2024, n° 821 et références citées). Elle n’est ainsi pas recevable à invoquer le principe ne bis in idem et ce grief est inopérant à son égard. Quant à A., il peut s’en prévaloir.</w:t>
      </w:r>
    </w:p>
    <w:p>
      <w:r>
        <w:rPr>
          <w:b/>
        </w:rPr>
        <w:t>E. 2.2.1</w:t>
      </w:r>
    </w:p>
    <w:p>
      <w:r>
        <w:t>À teneur du principe ne bis in idem, nul ne peut être poursuivi ou puni en raison de faits pour lesquels il a déjà été acquitté ou condamné par un</w:t>
      </w:r>
    </w:p>
    <w:p>
      <w:r>
        <w:t>- 6 -</w:t>
      </w:r>
    </w:p>
    <w:p>
      <w:r>
        <w:t>jugement définitif. En matière d’entraide, ledit principe est réglé aux art. 2 let. a CEEJ et 66 EIMP. En vertu de ce dernier, l’entraide peut être refusée si la personne poursuivie réside en Suisse et si l’infraction qui motive la demande fait déjà l’objet d’une procédure pénale (al. 1). L’entraide peut toutefois être accordée si la procédure ouverte à l’étranger n’est pas dirigée uniquement contre la personne poursuivie résidant en Suisse ou si l’exécution de la demande est de nature à la disculper (al. 2). Cette clause potestative laisse à l’autorité d’exécution un large pouvoir d’appréciation, l’autorité de surveillance ou de recours ne pouvant intervenir qu’en cas d’abus ou d’excès (arrêt du Tribunal pénal fédéral RR.2019.4 du 30 septembre 2019 consid. 4.2).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(arrêts du Tribunal pénal fédéral RR.2022.61 du 19 décembre 2022 consid. 3.1.1; RR.2021.39 du 22 septembre 2021 consid. 4.4; RR.2020.87 du 22 décembre 2020 consid. 10.2; RR.2019.4 précité ibidem; ZIMMERMANN, op. cit., n° 821).</w:t>
      </w:r>
    </w:p>
    <w:p>
      <w:r>
        <w:rPr>
          <w:b/>
        </w:rPr>
        <w:t>E. 2.2.2</w:t>
      </w:r>
    </w:p>
    <w:p>
      <w:r>
        <w:t>L’art. 54 CAAS dispose qu’une personne – que celle-ci soit ressortissante d’un Etat membre de l’Union européenne ou d’un Etat tiers – jugée définitivement par un Etat de l’Union européenne ne peut, pour les mêmes faits, être poursuivie par les autorités d’un autre Etat, à condition que, en cas de condamnation, la sanction ait été subie ou soit actuellement en cours d’exécution ou ne puisse plus être exécutée selon les lois de l’Etat de condamnation (ZIMMERMANN, op cit., n° 824).</w:t>
      </w:r>
    </w:p>
    <w:p>
      <w:r>
        <w:rPr>
          <w:b/>
        </w:rPr>
        <w:t>E. 2.2.3</w:t>
      </w:r>
    </w:p>
    <w:p>
      <w:r>
        <w:t>La CEEJ n’évoque pas le motif d’exclusion tiré de l’amnistie.</w:t>
      </w:r>
    </w:p>
    <w:p>
      <w:r>
        <w:rPr>
          <w:b/>
        </w:rPr>
        <w:t>E. 2.2.4</w:t>
      </w:r>
    </w:p>
    <w:p>
      <w:r>
        <w:t>Dans le champ d’application de la CEEJ, la Suisse s’est réservé le droit de refuser l’entraide, en vertu du principe ne bis in idem, uniquement dans les cas où, dans la même affaire, une procédure pénale est ouverte en Suisse contre la personne qui fait l’objet de la mesure d’entraide ou qu’un jugement y a été rendu au fond contre cette personne. L’art. 2 CEEJ lu à la lumière de la réserve suisse est ainsi plus restrictif que l’art. 5 al. 1 let. a ch. 1 EIMP. Alors que le traité vise uniquement le cas où une procédure est ouverte en Suisse ou qu’un jugement a déjà été rendu en Suisse, le droit interne exclut la coopération au regard du principe ne bis in idem si un jugement libératoire a été rendu en Suisse ou dans l’Etat où l’infraction a été commise. Il s’ensuit que dans le champ d’application de l’art. 2 CEEJ, la personne concernée ne peut pas opposer à la coopération l’argument que l’affaire en question a déjà fait l’objet d’une procédure pénale dans l’Etat requérant ou dans un Etat tiers</w:t>
      </w:r>
    </w:p>
    <w:p>
      <w:r>
        <w:t>- 7 -</w:t>
      </w:r>
    </w:p>
    <w:p>
      <w:r>
        <w:t>(arrêt du Tribunal pénal fédéral RR.2019.4 précité ibidem et référence citée). Par ailleurs, l’existence d’une procédure parallèle en Suisse ne fait pas obstacle à la coopération lorsque la procédure étrangère n’est pas dirigée uniquement contre la personne poursuivie qui réside en Suisse (arrêts du Tribunal pénal fédéral RR.2021.39 précité ibidem; RR.2020.87 précité ibidem; ZIMMERMANN, op. cit., nos 819 et 822). L’objection tirée du ne bis in idem n’est ainsi admissible que si un jugement a déjà été prononcé (arrêt du Tribunal pénal fédéral RR.2020.87 précité ibidem; ZIMMERMANN, op. cit., n° 820).</w:t>
      </w:r>
    </w:p>
    <w:p>
      <w:r>
        <w:rPr>
          <w:b/>
        </w:rPr>
        <w:t>E. 2.2.5</w:t>
      </w:r>
    </w:p>
    <w:p>
      <w:r>
        <w:t>De jurisprudence constante, les décisions portant sur la renonciation à la poursuite pénale (classement, non-entrée en matière), qui n’excluent pas une reprise de la procédure en cas de nouveaux moyens de preuve ou de faits nouveaux, ne permettent pas de bloquer, au sens du principe ne bis in idem, les procédures d’entraide judiciaire en matière pénale (ATF 110 Ib 385 consid. 2b; TPF 2010 91 consid. 2.2 et 2.3; arrêts du Tribunal pénal fédéral RR.2020.67 du 20 mai 2020 consid. 3.2.3 [confirmé par arrêt du Tribunal fédéral 1C_311/2020 du 16 juillet 2020 consid. 4.1]; RR.2019.264 du 12 mai 2020 consid. 6.3 et références citées; RR.2017.118-122 du 6 février 2018 consid. 5.2 [confirmé par arrêt du Tribunal fédéral 1C_87/2018 du 21 mars 2018 consid. 3.2]).</w:t>
      </w:r>
    </w:p>
    <w:p>
      <w:r>
        <w:rPr>
          <w:b/>
        </w:rPr>
        <w:t>E. 2.2.6</w:t>
      </w:r>
    </w:p>
    <w:p>
      <w:r>
        <w:t>Au vu de ce qui précède, l’argumentation du recourant quant à l’amnistie prononcée en Angola ne peut faire opposition à l’entraide entre le Portugal et la Suisse. De surcroît et par surabondance, il n’appartient pas au juge de l’entraide de déterminer, dans le cas présent, si les infractions amnistiées dans un Etat tiers pourraient avoir d’éventuelles conséquences sur les poursuites menées au Portugal et la punissabilité au sens du droit de l’Etat requérant pour blanchiment d’argent (dans ce sens, v. notamment l’arrêt du Tribunal pénal fédéral RR.2020.133 du 14 décembre 2020 consid. 4.3 et les références citées qui concerne une demande d’entraide de l’Angola et qui, justement, traite des infractions amnistiées par la loi invoquée par les recourants). Pour le reste, le recourant ne peut rien tirer de l’arrêt Bourquain du 11 décembre 2008 de la Cour de justice de l’Union européenne (C- 297/07) qui vise, comme l’indique le MP-GE, une situation différente.</w:t>
      </w:r>
    </w:p>
    <w:p>
      <w:r>
        <w:rPr>
          <w:b/>
        </w:rPr>
        <w:t>E. 2.2.7</w:t>
      </w:r>
    </w:p>
    <w:p>
      <w:r>
        <w:t>Il s’ensuit que le grief, mal fondé, est rejeté.</w:t>
      </w:r>
    </w:p>
    <w:p>
      <w:r>
        <w:rPr>
          <w:b/>
        </w:rPr>
        <w:t>E. 3.1</w:t>
      </w:r>
    </w:p>
    <w:p>
      <w:r>
        <w:t>Le recourant A. se prévaut ensuite d’une violation du principe de proportionnalité qu’il motive comme suit: aucune procédure pénale n’est ouverte en Angola ou au Brésil (pays de résidence) ni ne peut l’être. A. n’a</w:t>
      </w:r>
    </w:p>
    <w:p>
      <w:r>
        <w:t>- 8 -</w:t>
      </w:r>
    </w:p>
    <w:p>
      <w:r>
        <w:t>pas été informé d’une procédure contre lui au Portugal. La demande d’entraide s’apparente ainsi à une recherche indéterminée de moyens de preuve (« fishing expedition »), dont le but est d’obtenir des preuves sans fondement légal suffisant et de détourner l’entraide.</w:t>
      </w:r>
    </w:p>
    <w:p>
      <w:r>
        <w:t>Le recourant erre cependant lorsqu’il considère que la transmission des informations le concernant aboutit à une recherche indéterminée de moyens de preuve. Il y a en effet un lien objectif entre la documentation requise et la procédure portugaise (supra let. B; infra consid. 3.3), indépendamment de la question de savoir si A. a pris ou non connaissance de la procédure pendante contre lui au Portugal. En outre, le compte bancaire dont il dispose à la banque I. a été identifié par l’Etat requérant dans le cadre de son enquête et est expressément mentionné dans la demande d’entraide du 21 avril 2023.</w:t>
      </w:r>
    </w:p>
    <w:p>
      <w:r>
        <w:t>Cela suffit à sceller le sort de ce premier moyen lié au principe de proportionnalité.</w:t>
      </w:r>
    </w:p>
    <w:p>
      <w:r>
        <w:rPr>
          <w:b/>
        </w:rPr>
        <w:t>E. 3.2</w:t>
      </w:r>
    </w:p>
    <w:p>
      <w:r>
        <w:t>Les recourants soutiennent aussi que la documentation bancaire dont la transmission est envisagée est disproportionnée.</w:t>
      </w:r>
    </w:p>
    <w:p>
      <w:r>
        <w:rPr>
          <w:b/>
        </w:rPr>
        <w:t>E. 3.2.1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w:t>
      </w:r>
    </w:p>
    <w:p>
      <w:r>
        <w:t>- 9 -</w:t>
      </w:r>
    </w:p>
    <w:p>
      <w:r>
        <w:t>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905).</w:t>
      </w:r>
    </w:p>
    <w:p>
      <w:r>
        <w:rPr>
          <w:b/>
        </w:rPr>
        <w:t>E. 3.2.2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3.3</w:t>
      </w:r>
    </w:p>
    <w:p>
      <w:r>
        <w:t>En l’espèce, A., prévenu dans la procédure portugaise, est ayant droit</w:t>
      </w:r>
    </w:p>
    <w:p>
      <w:r>
        <w:t>- 10 -</w:t>
      </w:r>
    </w:p>
    <w:p>
      <w:r>
        <w:t>économique des valeurs patrimoniales déposées sur la relation bancaire de la société recourante. Cette dernière, bien que non mentionnée dans la demande d’entraide, n’en intéresse pas moins l’autorité requérante. À ce propos, il convient de se ranger à l’argumentation du MP-GE selon laquelle la documentation bancaire relative au compte n° 2 visé par le prononcé entrepris est de nature à fournir des informations pertinentes dès lors qu’il y a eu des transactions du compte n° 1 au compte n° 2, en particulier un transfert de l’ordre de USD 14 millions relevé par cette autorité.</w:t>
      </w:r>
    </w:p>
    <w:p>
      <w:r>
        <w:t>Dès lors, il existe un lien de connexité suffisant entre les informations à transmettre et l’état de fait de l’enquête pénale portugaise pour admettre la transmission de la documentation bancaire relative aux comptes des recourants, telle que répertoriée dans le dispositif du prononcé querellé. Le principe de l’utilité potentielle permet à l’autorité requise d’aller au-delà de la demande afin, notamment, d’éviter le dépôt de nouvelles requêtes (supra consid. 3.2.1),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(supra consid. 3.2.2). Il n’appartient ni à l’autorité d’exécution ni à l’autorité de recours de se substituer à l’autorité requérante dans l’appréciation de leur utilité effective pour l’enquête étrangère.</w:t>
      </w:r>
    </w:p>
    <w:p>
      <w:r>
        <w:t>Le grief est infondé.</w:t>
      </w:r>
    </w:p>
    <w:p>
      <w:r>
        <w:rPr>
          <w:b/>
        </w:rPr>
        <w:t>E. 4</w:t>
      </w:r>
    </w:p>
    <w:p>
      <w:r>
        <w:t>Dans un dernier grief, sous l’angle des exigences quant au contenu de la demande d’entraide, les recourants se prévalent du fait que l’infraction préalable au blanchiment est couverte par une amnistie. L’exposé des faits serait ainsi insuffisant et ne satisferait pas l’art. 28 al. 2 et 3 EIMP. L’Etat requérant devrait être invité à la compléter en application de l’art. 28 al. 6 EIMP.</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w:t>
      </w:r>
    </w:p>
    <w:p>
      <w:r>
        <w:t>- 11 -</w:t>
      </w:r>
    </w:p>
    <w:p>
      <w:r>
        <w:t>pas un délit politique ou fiscal (art. 2 ch. 1 let. a CEEJ), et que le principe de la proportionnalité est respecté (ATF 118 Ib 111 consid. 5b et les arrêts cités). L’art. 28 al. 2 EIMP, complété par l’art. 10 al. 2 OEIMP, pose des exigences similaires. Le contenu des demandes relatives au blanchiment d’argent est soumis à des exigences particulière (ZIMMERMANN, op. cit., n° 336, avec renvoi aux nos 739, 795 et 796).</w:t>
      </w:r>
    </w:p>
    <w:p>
      <w:r>
        <w:rPr>
          <w:b/>
        </w:rPr>
        <w:t>E. 4.2</w:t>
      </w:r>
    </w:p>
    <w:p>
      <w:r>
        <w:t>Dans une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4.3</w:t>
      </w:r>
    </w:p>
    <w:p>
      <w:r>
        <w:t>En l’espèce, le procureur portugais soupçonne quatre prévenus d’avoir, au moyen de deux sociétés-écrans principalement (F. Corporation et H. Corporarion, supra let. A), blanchi d’importantes sommes en provenance de l’Angola, lesquelles, après un passage à la banque G. à Madère, ont été transférées vers plusieurs comptes auprès de différents établissements sis en Suisse, en l’occurrence, la banque I. À l’aune des exigences des art. 14 CEEJ et 28 al. 2 EIMP et notamment de celui de la double incrimination, l’utilisation de nombreuses sociétés et de nombreux comptes en banque, répartis dans plusieurs pays, et l’importance des sommes entrant en ligne de compte constituent des indices suffisants, permettant objectivement de soupçonner des actes blanchiment d’argent. Force est ainsi de constater que la demande est complète et suffisamment précise, conformément aux exigences de la CEEJ et de l’EIMP. Comme mentionné au considérant 2.2.6, la portée de l’amnistie d’infractions commises en Angola jusqu’au 15 novembre 2015 et de ses conséquences sur l’enquête ouverte contre A.</w:t>
      </w:r>
    </w:p>
    <w:p>
      <w:r>
        <w:t>- 12 -</w:t>
      </w:r>
    </w:p>
    <w:p>
      <w:r>
        <w:t>au Portugal devra être tranchée par l’autorité portugaise qui est en l’occurrence compétente.</w:t>
      </w:r>
    </w:p>
    <w:p>
      <w:r>
        <w:t>5. Au vu de ce qui précède, la remise à l’Etat requérant de la documentation bancaire telle que répertoriée dans le dispositif du prononcé entrepris est conforme au droit. Par conséquent, le recours, mal fondé, doit être rejeté.</w:t>
      </w:r>
    </w:p>
    <w:p>
      <w:r>
        <w:rPr>
          <w:b/>
        </w:rPr>
        <w:t>E. 6</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[RFPPF; RS 173.713.162]; v. art. 63 al. 4bis PA). En l’espèce, en tant que parties qui succombent, les recourants doivent supporter les frais du présent arrêt, lesquels sont fixés à CHF 6’000.--, intégralement couverts par l’avance de frais déjà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