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RR.2024.122 vom 20. November 2024</w:t>
      </w:r>
    </w:p>
    <w:p>
      <w:r>
        <w:t>Bundesstrafgericht, 2024-11-20, DE</w:t>
      </w:r>
    </w:p>
    <w:p>
      <w:r>
        <w:rPr>
          <w:b/>
        </w:rPr>
        <w:t xml:space="preserve">Quelle: </w:t>
      </w:r>
      <w:r>
        <w:t>https://mcp.opencaselaw.ch/entscheid/bstger_RR.2024.122</w:t>
      </w:r>
    </w:p>
    <w:p>
      <w:r>
        <w:t>FR: TPF RR.2024.122 du 20 novembre 2024</w:t>
      </w:r>
    </w:p>
    <w:p>
      <w:r>
        <w:t>IT: TPF RR.2024.122 del 20 novembre 2024</w:t>
      </w:r>
    </w:p>
    <w:p>
      <w:pPr>
        <w:pStyle w:val="Heading2"/>
      </w:pPr>
      <w:r>
        <w:t>Regeste</w:t>
      </w:r>
    </w:p>
    <w:p>
      <w:r>
        <w:t>Internationale Rechtshilfe in Strafsachen an Belgien; Zwischenverfügung (Art. 80e Abs. 2 IRSG)</w:t>
      </w:r>
    </w:p>
    <w:p>
      <w:pPr>
        <w:pStyle w:val="Heading2"/>
      </w:pPr>
      <w:r>
        <w:t>Erwägungen</w:t>
      </w:r>
    </w:p>
    <w:p>
      <w:r>
        <w:rPr>
          <w:b/>
        </w:rPr>
        <w:t>E. 8</w:t>
      </w:r>
    </w:p>
    <w:p>
      <w:r>
        <w:t>November 2001 (SR 0.351.12) massgebend sind; ausserdem die Bestim- mungen der Art. 48 ff. des Übereinkommens vom 19. Juni 1990 zur Durch- führung des Übereinkommens von Schengen vom 14. Juni 1985 (Schenge- 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https://www.fedlex.admin.ch/de/sector-specific-agreements/EU- acts-register/8) zur Anwendung gelangen (TPF 2009 111 E. 1.2); günstigere Bestimmungen bilateraler oder multilateraler Übereinkünfte zwischen den Vertragsparteien unberührt bleiben (Art. 48 Abs. 2 SDÜ; Art. 26 Abs. 2 und 3 EUeR);</w:t>
      </w:r>
    </w:p>
    <w:p>
      <w:r>
        <w:t>- soweit diese Staatsverträge bestimmte Fragen nicht abschliessend regeln, das Bundesgesetz vom 20. März 1981 (Rechtshilfegesetz, IRSG; SR 351.1) und die Verordnung vom 24. Februar 1982 über internationale Rechtshilfe in Strafsachen (Rechtshilfeverordnung, IRSV; SR 351.11) Anwendung finden (Art. 1 Abs. 1 lit. b IRSG); das innerstaatliche Recht nach dem Günstigkeits- prinzip auch dann zur Anwendung gelangt, wenn es geringere Anforderun- gen an die Rechtshilfe stellt (BGE 148 IV 314 E. 2.1; 147 II 432 E. 3.1; 145 IV 294 E. 2.1; jeweils m.w.H.); die Wahrung der Menschenrechte vorbehal- ten bleibt (BGE 145 IV 294 E. 2.1; 123 II 595 E. 7c; TPF 2020 64 E. 1.1);</w:t>
      </w:r>
    </w:p>
    <w:p>
      <w:r>
        <w:t>- auf Beschwerdeverfahren in internationalen Rechtshilfeangelegenheiten zu- dem die Bestimmungen des Bundesgesetzes vom 20. Dezember 1968 über das Verwaltungsverfahren (Verwaltungsverfahrensgesetz, VwVG; SR 172.021) anwendbar sind (Art. 39 Abs. 2 lit. b i.V.m. Art. 37 Abs. 2 lit. a Ziff. 1</w:t>
      </w:r>
    </w:p>
    <w:p>
      <w:r>
        <w:t>- 5 -</w:t>
      </w:r>
    </w:p>
    <w:p>
      <w:r>
        <w:t>StBOG), wenn das IRSG nichts anderes bestimmt (siehe Art. 12 Abs. 1 IRSG);</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w:t>
      </w:r>
    </w:p>
    <w:p>
      <w:r>
        <w:t>- der Schlussverfügung vorangehende Zwischenverfügungen selbständig an- gefochten werden können, sofern sie einen unmittelbaren und nicht wieder gutzumachenden Nachteil bewirken (a) durch die Beschlagnahme von Ver- mögenswerten und Wertgegenständen oder (b) durch die Anwesenheit von Personen, die am ausländischen Prozess beteiligt sind (Art. 80e Abs. 2 IRSG);</w:t>
      </w:r>
    </w:p>
    <w:p>
      <w:r>
        <w:t>- die Beschwerdefrist gegen die Schlussverfügung 30 Tage, gegen eine Zwi- schenverfügung zehn Tage ab der schriftlichen Mitteilung der Verfügung be- trägt (Art. 80k IRSG);</w:t>
      </w:r>
    </w:p>
    <w:p>
      <w:r>
        <w:t>- die vorliegend angefochtene Eintretensverfügung/Zwischenverfügung vom 30. April 2024 (wie auch die [ergänzte] Eintretensverfügung/Zwischenverfü- gung vom 29. August 2024, die Zwischenverfügung XIII vom 3. September 2024 und der Durchsuchungs- und Beschlagnahmebefehl im Rechtshilfever- fahren vom 17. Oktober 2024) A. und B. am 18. Oktober 2024 schriftlich mit- geteilt wurden;</w:t>
      </w:r>
    </w:p>
    <w:p>
      <w:r>
        <w:t>- die 10-tägige Beschwerdefrist an dem auf ihre Mitteilung folgenden Tag, mit- hin am 19. Oktober 2024 zu laufen begann (vgl. Art. 20 Abs. 1 VwVG) und am 28. Oktober 2024 endete;</w:t>
      </w:r>
    </w:p>
    <w:p>
      <w:r>
        <w:t>- sich die Beschwerde datiert vom 29. Oktober 2024 jedenfalls als verspätet erweist und bereits aus diesem Grund auf sie nicht einzutreten ist;</w:t>
      </w:r>
    </w:p>
    <w:p>
      <w:r>
        <w:t>- die vorliegend angefochtene Eintretensverfügung/Zwischenverfügung vom 30. April 2024 (wie auch die [ergänzte] Eintretensverfügung/Zwischenverfü- gung vom 29. August 2024) keine Beschlagnahme von Vermögenswerten oder Wertgegenständen anordnet;</w:t>
      </w:r>
    </w:p>
    <w:p>
      <w:r>
        <w:t>- im Übrigen es sich bei den vorliegend sichergestellten und allenfalls zu be- schlagnahmenden Aufzeichnungen und Gegenständen nicht um Vermö- genswerte oder Wertgegenstände im Sinne von Art. 80e Abs. 2 lit. a IRSG</w:t>
      </w:r>
    </w:p>
    <w:p>
      <w:r>
        <w:t>- 6 -</w:t>
      </w:r>
    </w:p>
    <w:p>
      <w:r>
        <w:t>handelt (vgl. TPF 2010 133; vgl. auch zuletzt u.a. Entscheid des Bundesstraf- gerichts RR.2021.63 vom 10. Mai 2021);</w:t>
      </w:r>
    </w:p>
    <w:p>
      <w:r>
        <w:t>- ferner das Gesetz im Bereich der Rechtshilfe in Strafsachen keine unmittel- bare Beschwerdemöglichkeit gegen Hausdurchsuchungs- und Durchsu- chungs- und Beschlagnahmebefehle vorsieht (Art. 80e Abs. 2 IRSG e contra- rio; vgl. zuletzt u.a. Entscheid des Bundesstrafgerichts RR.2021.63 vom</w:t>
      </w:r>
    </w:p>
    <w:p>
      <w:r>
        <w:rPr>
          <w:b/>
        </w:rPr>
        <w:t>E. 10</w:t>
      </w:r>
    </w:p>
    <w:p>
      <w:r>
        <w:t>Mai 2021);</w:t>
      </w:r>
    </w:p>
    <w:p>
      <w:r>
        <w:t>- die vorliegend angefochtene Eintretensverfügung/Zwischenverfügung vom 30. April 2024 (wie auch die [ergänzte] Eintretensverfügung/Zwischenverfü- gung vom 29. August 2024) die Anwesenheit von ausländischen Verfahrens- beteiligten bewilligte;</w:t>
      </w:r>
    </w:p>
    <w:p>
      <w:r>
        <w:t>- der Beizug ausländischer Ermittlungsbeamter in Art. 4 (Abs. 1 in der Fassung gemäss Art. 2 ZPII EUeR) Satz 2 EUeR und in Art. 65a IRSG ausdrücklich vorgesehen ist; dieser nicht zuletzt der Verhältnismässigkeit bzw. der sach- bezogenen Begrenzung der beantragten Rechtshilfemassnahmen dienen kann (vgl. Urteil des Bundesgerichts 1A.259/2005 vom 15. November 2005 E. 1.2);</w:t>
      </w:r>
    </w:p>
    <w:p>
      <w:r>
        <w:t>- gemäss konstanter Rechtsprechung des Bundesgerichts die blosse Anwe- senheit ausländischer Prozessbeteiligter an einer Rechtshilfehandlung für den Betroffenen in der Regel noch keinen unmittelbaren und nicht wieder gutzumachenden Nachteil i.S.v. Art. 80e Abs. 2 IRSG zur Folge hat;</w:t>
      </w:r>
    </w:p>
    <w:p>
      <w:r>
        <w:t>- ein solcher Nachteil zu bejahen ist, wenn die Gefahr besteht, dass den aus- ländischen Behörden durch die Teilnahme ihrer Beamten an den Vollzugs- handlungen Tatsachen aus dem Geheimbereich zugänglich gemacht wer- den, bevor über die Gewährung oder den Umfang der Rechtshilfe entschie- den worden ist (Art. 65a Abs. 3 IRSG; BGE 128 II 211 E. 2.1; 127 II 198 E. 2b);</w:t>
      </w:r>
    </w:p>
    <w:p>
      <w:r>
        <w:t>- diese Gefahr zu verneinen ist, wenn die schweizerischen Behörden die nach den Umständen geeigneten Vorkehren treffen, um eine vorzeitige Verwen- dung von Informationen im ausländischen Strafverfahren zu verhindern (BGE 128 II 211 E. 2.1 S. 216; Urteile des Bundesgerichts 1A.225/2006 vom 6. März 2007 E. 1.5.1; 1A.291/2005 vom 14. November 2005 E. 2.1; TPF 2014 60 E. 3.3); geeignete Vorkehren die Vollzugsbehörde u.a. dann trifft, wenn sie die ausländischen Beamten verpflichtet, allfällige Erkenntnisse bis zum Vorliegen einer rechtskräftigen Schlussverfügung im ausländischen Verfahren nicht zu verwenden (TPF 2014 60 E. 3.3; TPF 2010 96 E. 2.3 f.;</w:t>
      </w:r>
    </w:p>
    <w:p>
      <w:r>
        <w:t>- 7 -</w:t>
      </w:r>
    </w:p>
    <w:p>
      <w:r>
        <w:t>TPF 2008 116 E. 5.1); bei Beachtung dieser Grundsätze ein unmittelbarer und nicht wieder gutzumachender Nachteil in der Regel zu verneinen ist (Ur- teil des Bundesgerichts 1A.225/2006 vom 6. März 2007 E. 1.5.1);</w:t>
      </w:r>
    </w:p>
    <w:p>
      <w:r>
        <w:t>- vorliegend die Beschwerdegegnerin in der Eintretensverfügung/Zwischen- verfügung vom 30. April 2024 (wie auch in der [E]rgänzten Eintretensverfü- gung/Zwischenverfügung vom 29. August 2024) unter anderem festhielt, dass die Anwesenheit von Vertretern der Police Judiciaire Fédérale Liège bei den durchzuführenden Rechtshilfemassnahmen unter der Auflage der vorgängigen Unterzeichnung einer sog. Garantieerklärung bewilligt wird;</w:t>
      </w:r>
    </w:p>
    <w:p>
      <w:r>
        <w:t>- den Verfahrensakten sodann unter anderem von den belgischen Beamten am 16. Oktober 2024 unterzeichnete Garantieerklärungen beiliegen, wonach sich diese namentlich verpflichteten, die anlässlich der Teilnahme an Einver- nahmen oder bei der Sichtung von Daten und Unterlagen gewonnen Er- kenntnisse in keinem gegenwärtig oder zukünftig hängigen Verfahren weder zu Ermittlungs- oder Beweiszwecken zu verwenden, bis über die Gewährung und den Umfang der Rechtshilfe definitiv und rechtskräftig entschieden wurde (Verfahrensakten StA SZ, pag. 17.1.007 ff.);</w:t>
      </w:r>
    </w:p>
    <w:p>
      <w:r>
        <w:t>- die unterzeichneten Garantieerklärungen den vorstehenden, durch die Rechtsprechung entwickelten Anforderungen genügen; nach dem völker- rechtlichen Vertrauensprinzip zudem grundsätzlich davon auszugehen ist, dass der ersuchende Staat bzw. dessen Beamten diese Zusicherung auch beachten werden (Urteile des Bundesgerichts 1A.225/2006 vom 6. März 2007 E. 1.5.2; 1A.228/2003 vom 10. März 2004 E. 3.3.2);</w:t>
      </w:r>
    </w:p>
    <w:p>
      <w:r>
        <w:t>- die Beschwerdeführer keinen unmittelbaren und nicht wieder gutzumachen- den Nachteil im Sinne von Art. 80e Abs. 2 IRSG dargetan haben, weshalb auf die Beschwerde auch aus diesem Grund nicht einzutreten ist;</w:t>
      </w:r>
    </w:p>
    <w:p>
      <w:r>
        <w:t>- nach dem Gesagten sich die Beschwerde als offensichtlich unzulässig er- weist, weshalb auf diese ohne Durchführung eines Schriftenwechsels nicht einzutreten ist (Art. 57 Abs. 1 VwVG e contrario);</w:t>
      </w:r>
    </w:p>
    <w:p>
      <w:r>
        <w:t>- bei diesem Ausgang des Verfahrens die Gerichtskosten den Beschwerde- führern zu gleichen Teilen und unter solidarischer Haftung aufzuerlegen sind (vgl. Art. 63 Abs. 1 VwVG);</w:t>
      </w:r>
    </w:p>
    <w:p>
      <w:r>
        <w:t>- die Gerichtsgebühr auf Fr. 1'000.– festzusetzen ist (vgl. Art. 65 Abs. 5 VwVG i.V.m. Art. 73 StBOG und Art. 5 und 8 Abs. 3 BStKR);</w:t>
      </w:r>
    </w:p>
    <w:p>
      <w:r>
        <w:t>- 8 -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