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RR.2024.119 vom 27. November 2024</w:t>
      </w:r>
    </w:p>
    <w:p>
      <w:r>
        <w:t>Bundesstrafgericht, 2024-11-27, FR</w:t>
      </w:r>
    </w:p>
    <w:p>
      <w:r>
        <w:rPr>
          <w:b/>
        </w:rPr>
        <w:t xml:space="preserve">Quelle: </w:t>
      </w:r>
      <w:r>
        <w:t>https://mcp.opencaselaw.ch/entscheid/bstger_RR.2024.119</w:t>
      </w:r>
    </w:p>
    <w:p>
      <w:r>
        <w:t>FR: TPF RR.2024.119 du 27 novembre 2024</w:t>
      </w:r>
    </w:p>
    <w:p>
      <w:r>
        <w:t>IT: TPF RR.2024.119 del 27 novembre 2024</w:t>
      </w:r>
    </w:p>
    <w:p>
      <w:pPr>
        <w:pStyle w:val="Heading2"/>
      </w:pPr>
      <w:r>
        <w:t>Regeste</w:t>
      </w:r>
    </w:p>
    <w:p>
      <w:r>
        <w:t>Entraide judiciaire internationale en matière pénale à la France; qualité de partie à la procédure d'entraide (art. 80b EIMP); mesures provisionnelles (art. 56 PA); remise de moyens de preuve (art. 74 EIMP)</w:t>
      </w:r>
    </w:p>
    <w:p>
      <w:pPr>
        <w:pStyle w:val="Heading2"/>
      </w:pPr>
      <w:r>
        <w:t>Erwägungen</w:t>
      </w:r>
    </w:p>
    <w:p>
      <w:r>
        <w:rPr>
          <w:b/>
        </w:rPr>
        <w:t>E. 20</w:t>
      </w:r>
    </w:p>
    <w:p>
      <w:r>
        <w:t>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w:t>
      </w:r>
    </w:p>
    <w:p>
      <w:r>
        <w:rPr>
          <w:b/>
        </w:rPr>
        <w:t>E. 22</w:t>
      </w:r>
    </w:p>
    <w:p>
      <w:r>
        <w:t>septembre 2000, p. 19-62) s’appliquent également à l'entraide pénale entre la Suisse et la France (v. arrêt du Tribunal pénal fédéral RR.2008.98 du 18 décembre 2008 consid. 1.3); peuvent également s’appliquer, en l’occurrence, la Convention européenne relative au blanchiment, au dépistage, à la saisie et à la confiscation des produits du crime (CBl; RS 0.311.53), entrée en vigueur pour la Suisse le 1er septembre 1993 et pour la France le 1er février 1997, et la Convention des Nations Unies contre la corruption du 31 octobre 2003 (UNCAC; RS 0.311.56), entrée en vigueur pour la Suisse le 24 octobre 2009 et pour la France le 14 décembre 2005, en particulier, s’agissant du blanchiment d’argent (indépendamment de la nature du crime préalable), les art. 43 ss, en particulier l’art. 46, par renvoi des art. 14 et 23;</w:t>
      </w:r>
    </w:p>
    <w:p>
      <w:r>
        <w:t>les dispositions des traités précités l’emportent sur le droit interne qui régit la matière, soit la loi fédérale sur l’entraide internationale en matière pénale (EIMP; RS 351.1) et son ordonnance d’exécution (OEIMP; RS 351.11), le droit interne restant toutefois applicable aux questions non réglées, explicitement ou implicitement, par les traités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t>- 4 -</w:t>
      </w:r>
    </w:p>
    <w:p>
      <w:r>
        <w:t>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w:t>
      </w:r>
    </w:p>
    <w:p>
      <w:r>
        <w:t>bien qu’elle ne soit pas prévue par la loi fédérale sur la procédure administrative du 20 décembre 1968 (PA; RS 172.021), applicable in casu par renvoi des art. 12 al. 1 EIMP et 39 al. 2 let. c LOAP, l’institution de la jonction des causes est néanmoins admise en pratique (v. arrêts du Tribunal pénal fédéral RR.2019.160 + RH.2019.16 du 13 août 2019 consid. 1; RR.2017.97 et RR.2017.69 du 30 juin 2017 consid. 3; RR.2008.190 du</w:t>
      </w:r>
    </w:p>
    <w:p>
      <w:r>
        <w:rPr>
          <w:b/>
        </w:rPr>
        <w:t>E. 26</w:t>
      </w:r>
    </w:p>
    <w:p>
      <w:r>
        <w:t>février 2009 consid. 1; RR.2008.216 + RR.2008.225-230 du 20 novembre 2008 consid. 1.2; MOSER/BEUSCH/KNEUBÜHLER, Prozessieren vor dem Bundesverwaltungsgericht, 2e éd. 2013, § 3.17, p. 144 et s.);</w:t>
      </w:r>
    </w:p>
    <w:p>
      <w:r>
        <w:t>vu la connexité évidente existant entre les deux prononcés entrepris, par un seul recourant représenté par les deux mêmes conseils, les causes RR.2024.119 et RR.2024.120 ont été jointes (RR.2024.119 + RR.2024.120, act. 2), pour des raisons d’économie de procédure;</w:t>
      </w:r>
    </w:p>
    <w:p>
      <w:r>
        <w:t>dans la cause RR.2024.119, directement touché par le refus de se voir reconnaitre la qualité de partie à la procédure d’entraide, ainsi que le droit de consulter le dossier en découlant, le recourant a qualité pour recourir contre le prononcé entrepris (arrêt du Tribunal pénal fédéral RR.2023.99 du 23 août 2023 et références citées);</w:t>
      </w:r>
    </w:p>
    <w:p>
      <w:r>
        <w:t>interjeté le 21 octobre 2024, contre un prononcé, notifié le 23 septembre 2024, devant être assimilé à une décision de clôture (arrêt du Tribunal pénal fédéral RR.2023.99 du 23 août 2023 et références citées), le recours l’a été en temps utile (art. 80k EIMP), de sorte qu’il y a lieu d’entrer en matière;</w:t>
      </w:r>
    </w:p>
    <w:p>
      <w:r>
        <w:t>la qualité de partie en procédure administrative se détermine sur la base du droit de recours (arrêts du Tribunal pénal fédéral RR.2023.99 précité;</w:t>
      </w:r>
    </w:p>
    <w:p>
      <w:r>
        <w:t>- 5 -</w:t>
      </w:r>
    </w:p>
    <w:p>
      <w:r>
        <w:t>RR.2019.12 du 29 mai 2019 consid. 3), de sorte que celle de partie à la procédure d'entraide s’aligne sur la qualité pour agir définie par l’art. 80h let. b EIMP (ATF 127 II 104 consid. 4b);</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l’État requérant d’informations relatives à ce compte (v. ATF 137 IV 134 consid. 5; 118 Ib 547 consid. 1d); de jurisprudence constante, cette qualité est, en revanche, déniée à l’ayant droit économique (ATF 139 II 404 consid. 2.1.1 et arrêts cités; 129 II 268 consid. 2.3.3; arrêt du Tribunal fédéral 1A.87/2004 du 3 juin 2004 consid. 2 et arrêts cités);</w:t>
      </w:r>
    </w:p>
    <w:p>
      <w:r>
        <w:t>la qualité pour agir est reconnue exceptionnellement à l’ayant droit d'une société titulaire d'un compte bancaire lorsque celle-ci a été dissoute et liquidée, sous réserve de l’abus de droit (ATF 139 II 404 consid. 2.1.1 p. 411 s.; 137 IV 134 consid. 5.2.1 p. 138 et arrêts cités); il appartient dans ce cas à l’ayant droit de prouver la liquidation, documents officiels à l’appui; il faut en outre que l’acte de dissolution – ou tout autre document disponible – indique clairement l’ayant droit comme son bénéficiaire (arrêts du Tribunal fédéral 1C_172/2023 du 8 septembre 2023 consid. 1.2; 1C 44/2022 du</w:t>
      </w:r>
    </w:p>
    <w:p>
      <w:r>
        <w:rPr>
          <w:b/>
        </w:rPr>
        <w:t>E. 28</w:t>
      </w:r>
    </w:p>
    <w:p>
      <w:r>
        <w:t>janvier 2022 consid. 2.2; 1C_401/2021 du 28 juillet 2021 consid. 2.1; 1C_278/2021 du 20 mai 2021 consid. 2.2; 1C_345/2020 du 24 juin 2020 consid. 1.3, 1C_181/2020 du 17 avril 2020 consid. 1.2; 1C_265/2018 du 6 juin 2018 consid. 2.2; 1C_162/2018 du 29 mai 2018 consid. 2.1.1; 1C_2/2016 du 11 janvier 2016 consid. 2.2; 1C_370/2012 du 3 octobre 2012 consid. 2.7; 1C_183/2012 du 12 avril 2012 consid. 1.4; 1C_440/2011 du 17 octobre 2011 consid. 1.4 et arrêts cités; ZIMMERMANN, La coopération judiciaire internationale en matière pénale, 5e éd. 2019, n. 529 et références citées); en particulier, la seule production d’un avis de virement, qui n’est pas un document officiel, ne suffit pas (arrêts du Tribunal fédéral 1C_401/2021 du 28 juillet 2021 consid. 2.3; 1C_345/2020 du 24 juin 2020 consid. 1.3; 1C_181/2020 du 17 avril 2020 consid. 1.2; 1C_183/2012 du 12 avril 2012 consid. 1.5);</w:t>
      </w:r>
    </w:p>
    <w:p>
      <w:r>
        <w:t>en d’autres termes, le fait d’être l’ayant droit économique de la société ne suffit pas à conférer la qualité pour agir en lieu et place de ladite société dissoute, encore faut-il démontrer être le bénéficiaire de la liquidation;</w:t>
      </w:r>
    </w:p>
    <w:p>
      <w:r>
        <w:t>- 6 -</w:t>
      </w:r>
    </w:p>
    <w:p>
      <w:r>
        <w:t>en l’espèce, des documents officiels fournis par le recourant, il ressort qu’au 27 août 2013 celui-ci était l’unique actionnaire de la société B. Ltd, laquelle a été dissoute le 14 novembre 2022 (RR.2024.119, act. 1.8bis et 1.9);</w:t>
      </w:r>
    </w:p>
    <w:p>
      <w:r>
        <w:t>le recourant produit également un document signé de sa main, intitulé « UNANIMOUS RESOLUTION OF THE SHAREHOLDER OF B. Ltd » non daté, mais annoncé établi le 20 mars 2023 – soit postérieurement à la dissolution de la société – duquel il ne ressort toutefois pas qu’il serait le bénéficiaire de la liquidation (RR.2024.119, act. 1.10);</w:t>
      </w:r>
    </w:p>
    <w:p>
      <w:r>
        <w:t>ainsi que des échanges de courriels avec la banque D. concernant le transfert du solde des avoirs de la société sur le compte personnel du recourant après la clôture du compte (RR.2024.119, act. 1.12), dont la valeur probante est toutefois insuffisante, en tant qu’ils peuvent, tout au plus, être assimilés, à un avis de virement bancaire, selon la jurisprudence précitée;</w:t>
      </w:r>
    </w:p>
    <w:p>
      <w:r>
        <w:t>ce d’autant plus que, selon ces échanges, la banque, après avoir exposé au recourant les informations nécessaires pour procéder au virement du solde du compte de la société sur le compte personnel du recourant, a, dans un premier temps, refusé le document fourni par le recourant, le 20 mars 2023, au motif qu’il ne mentionnait pas que le recourant était le seul bénéficiaire de la société (même si, ensuite, après avoir obtenu l’accord du service compliance, elle a accepté d’y procéder);</w:t>
      </w:r>
    </w:p>
    <w:p>
      <w:r>
        <w:t>partant, le recourant échoue à établir être le bénéficiaire des avoirs de la société dissoute;</w:t>
      </w:r>
    </w:p>
    <w:p>
      <w:r>
        <w:t>par conséquent, le recourant ne dispose pas de la qualité pour agir et ne peut se voir reconnaître la qualité de partie à la procédure et avoir accès aux actes de celle-ci;</w:t>
      </w:r>
    </w:p>
    <w:p>
      <w:r>
        <w:t>le recours contre le prononcé de refus de qualité de partie doit être rejeté (RR.2024.119);</w:t>
      </w:r>
    </w:p>
    <w:p>
      <w:r>
        <w:t>le défaut de qualité de partie du recourant entraine l’irrecevabilité du recours interjeté contre la décision de clôture du 20 septembre 2024 (RR.2024.120);</w:t>
      </w:r>
    </w:p>
    <w:p>
      <w:r>
        <w:t>au vu de ce qui précède, en application de l’art. 57 al. 1 de la loi fédérale du 20 décembre 1968 sur la procédure administrative (PA; RS 172.021), la Cour de céans a renoncé à procéder à un échange d'écritures;</w:t>
      </w:r>
    </w:p>
    <w:p>
      <w:r>
        <w:t>vu l’issue des recours, la mesure provisionnelle octroyée à titre super- provisoire est révoquée; les autres sont sans objet;</w:t>
      </w:r>
    </w:p>
    <w:p>
      <w:r>
        <w:t>- 7 -</w:t>
      </w:r>
    </w:p>
    <w:p>
      <w:r>
        <w:t>en règle générale, les frais de procédure comprenant l’émolument d’arrêt, les émoluments de chancellerie et les débours sont mis à la charge de la partie qui succombe (art. 63 al. 1 PA, applicable par renvoi de l’art. 39 LOAP);</w:t>
      </w:r>
    </w:p>
    <w:p>
      <w:r>
        <w:t>en tant que partie qui succombe, le recourant doit supporter les frais du présent arrêt, lesquels sont fixés à CHF 3’000.-- (v. art. 73 al. 2 LOAP, art. 8 al. 3 let. a du règlement du Tribunal pénal fédéral sur les frais, émoluments, dépens, et indemnités de la procédure pénale fédérale [RFPPF; RS 173.713.162] et art. 63 al. 5 PA), montant couvert par l’avance de frais déjà versée;</w:t>
      </w:r>
    </w:p>
    <w:p>
      <w:r>
        <w:t>le solde, par CHF 5’000.--, lui sera restitué par la Caisse du Tribunal pénal fédéral.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