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RR.2024.113 vom 11. August 2025</w:t>
      </w:r>
    </w:p>
    <w:p>
      <w:r>
        <w:t>Bundesstrafgericht, 2025-08-11, DE</w:t>
      </w:r>
    </w:p>
    <w:p>
      <w:r>
        <w:rPr>
          <w:b/>
        </w:rPr>
        <w:t xml:space="preserve">Quelle: </w:t>
      </w:r>
      <w:r>
        <w:t>https://mcp.opencaselaw.ch/entscheid/bstger_RR.2024.113</w:t>
      </w:r>
    </w:p>
    <w:p>
      <w:r>
        <w:t>FR: TPF RR.2024.113 du 11 août 2025</w:t>
      </w:r>
    </w:p>
    <w:p>
      <w:r>
        <w:t>IT: TPF RR.2024.113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w:t>
      </w:r>
    </w:p>
    <w:p>
      <w:r>
        <w:t>Die Verfahren RR.2024.113-114 und RR.2024.115-116 sind aus prozess- ökonomischen Gründen zu vereinigen.</w:t>
      </w:r>
    </w:p>
    <w:p>
      <w:r>
        <w:rPr>
          <w:b/>
        </w:rPr>
        <w:t>E. 2.1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 0.311.56), in Verbindung mit Art. 14 und Art. 23 UNCAC betreffend die Geldwäscherei im Allgemeinen.</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w:t>
      </w:r>
    </w:p>
    <w:p>
      <w:r>
        <w:t>- 6 -</w:t>
      </w:r>
    </w:p>
    <w:p>
      <w:r>
        <w:t>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2.3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3.1</w:t>
      </w:r>
    </w:p>
    <w:p>
      <w:r>
        <w:t>Die Schlussverfügung der ausführenden kantonalen Behörde oder der aus- führenden Bundesbehörde unterliegt zusammen mit den vorangehenden Zwischenverfügungen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Interesse an deren Aufhebung oder Änderung haben (Art. 21 Abs. 3 IRSG). Die Beschwerdevoraussetzungen gemäss Art. 21 Abs. 3 IRSG sind diesel- ben wie in Art. 80h lit. b IRSG (vgl. hierzu die Botschaft vom 29. März 1995 betreffend die Änderung des Rechtshilfegesetzes [...], BBl 1995 III S. 19, 30). Als persönlich und direkt betroffen im Sinne der Art. 21 Abs. 3 und Art. 80h lit. b IRSG gilt bei der Erhebung von Kontoinformationen namentlich der Kontoinhaber (Art. 9a lit. a IRSV) bzw. gemäss Rechtsprechung in der Regel nur der Kontoinhaber (vgl. hierzu den Entscheid des Bundesstrafgerichts RR.2020.291 vom 19. August 2021 E. 3.1 m.w.H. und E. 3.2). Der wirtschaft- lich Berechtigte und andere bloss indirekt Betroffene sind nach der Recht- sprechung grundsätzlich nicht zur Beschwerde legitimiert (BGE 130 II 162 E. 1.1; 123 II 153 E. 2b, m.w.H.). Ausnahmsweise kann der bloss wirtschaft- lich an einem Konto oder an einer direkt betroffenen Gesellschaft Berechtigte selbständig beschwerdelegitimiert sein, etwa dann, wenn eine juristische Person, über deren Konto Auskunft verlangt wird, nicht mehr besteht und die Auflösung der Gesellschaft nicht nur vorgeschoben oder rechtsmissbräuch- lich erscheint (BGE 137 IV 134 E. 5.2.1 m.w.H.; 123 II 153 E. 2c-d). Die</w:t>
      </w:r>
    </w:p>
    <w:p>
      <w:r>
        <w:t>- 7 -</w:t>
      </w:r>
    </w:p>
    <w:p>
      <w:r>
        <w:t>Stellung als Beschuldigter im ausländischen Strafverfahren, für welches die Bankinformationen geliefert werden sollen, genügt gemäss Rechtsprechung nicht, um eine direkte persönliche Betroffenheit im Sinne des Gesetzes zu begründen. Der Beschwerdeführer muss von der Rechtshilfemassnahme selbst direkt betroffen sein, nicht nur in einem generellen oder indirekten Sinn als Beteiligter im ausländischen Strafverfahren, für welches die Unterlagen rechtshilfeweise angefragt worden sind (BGE 137 IV 134 E. 5.2.1; 129 II 268 E. 2.3.3; 128 II 211 E. 2.3; 127 II 104 E. 3; 127 II 198 E. 2d; 126 II 258 E. 2d; TPF 2020 180 E. 4.4; 2015 141 E. 4.1; Entscheid des Bundesstrafgerichts RR.2022.203-204 vom 27. Juni 2023 E. 2.1).</w:t>
      </w:r>
    </w:p>
    <w:p>
      <w:r>
        <w:rPr>
          <w:b/>
        </w:rPr>
        <w:t>E. 3.2</w:t>
      </w:r>
    </w:p>
    <w:p>
      <w:r>
        <w:t>Die angefochtenen Verfügungen beziehen sich auf die Herausgabe von Bankunterlagen betreffend Konten der Beschwerdeführerin 1 bei der (ehe- maligen) Bank F. und der Bank G. Der Beschwerdeführer 2 ist nicht Inhaber der von der gerügten Rechtshilfemassnahme betroffenen Konten. Wie aus- geführt, genügen weder der Umstand, dass er als wirtschaftlich Berechtigter in den Kontoeröffnungsunterlagen der Beschwerdeführerin 1 genannt wird, noch dessen allfällige Stellung als Beschuldigter im ukrainischen Verfahren zur Bejahung seiner Beschwerdelegitimation. Dass die Beschwerdeführe- rin 1 aufgelöst worden wäre und der Beschwerdeführer 2 Begünstigter am Liquidationserlös der Beschwerdeführerin 1 sei, und damit ausnahmsweise dessen Legitimation zur vorliegenden Beschwerde zu bejahen wäre, wird nicht geltend gemacht. Auf die Beschwerden des Beschwerdeführers 2 ist daher nicht einzutreten.</w:t>
      </w:r>
    </w:p>
    <w:p>
      <w:r>
        <w:rPr>
          <w:b/>
        </w:rPr>
        <w:t>E. 3.3.1</w:t>
      </w:r>
    </w:p>
    <w:p>
      <w:r>
        <w:t>Die Beschwerdeführerin 1 ist Inhaberin der von der Rechtshilfemassnahme betroffenen Konten, weshalb diese zur Beschwerdeerhebung legitimiert ist.</w:t>
      </w:r>
    </w:p>
    <w:p>
      <w:r>
        <w:rPr>
          <w:b/>
        </w:rPr>
        <w:t>E. 3.3.2</w:t>
      </w:r>
    </w:p>
    <w:p>
      <w:r>
        <w:t>Die Beschwerden vom 17. Oktober 2024 wurden gleichentags versandt und gingen am 18. Oktober 2024 beim Gericht ein. Die Beschwerdegegnerin vertritt die Ansicht, dass die Beschwerden der Beschwerdeführerin 1 zu spät eingereicht worden seien. Die Beschwerdeführerin 1 macht diesbezüglich geltend, die Schlussverfügungen vom 10. September 2024 seien bei ihr am 17. September 2024 eingegangen, weshalb die am 17. Oktober 2024 erhobenen Beschwerden fristgereicht seien. Der Sitz der Beschwerdeführe- rin 1 befinde sich […] in Y. (SG). Seit ihrer Gründung am 15. Juni 2011 mit damaligen Sitz in Lugano (TI) habe die Beschwerdeführerin 1 eine Postumleitung ins Postfach […] des damaligen Einzelunternehmens I. Rechtsanwälte, (damals) J.-Strasse, St. Gallen (heute: I. Rechtsan- wälte AG, K.-Strasse, Postfach […], St. Gallen) eingerichtet. Die Schweize- rische Post habe am 16. Oktober 2024 bestätigt, dass die Postumleitung für</w:t>
      </w:r>
    </w:p>
    <w:p>
      <w:r>
        <w:t>- 8 -</w:t>
      </w:r>
    </w:p>
    <w:p>
      <w:r>
        <w:t>die Beschwerdeführerin 1 bis auf Widerruf bestehe; mithin auch heute noch. Gemäss der Sendungsverfolgungsnummer seien die Schlussverfügungen in Y. (SG) entgegengenommen worden. Dies sei jedoch aufgrund der Postum- leitung überhaupt nicht möglich. Die Beschwerdeführerin 1 habe entspre- chend eine Meldung bei der Schweizerischen Post hinterlegt. Diese werde sich in den kommenden Tagen mit einer finalen Bestätigung, dass die fragli- chen Sendungen in das Postfach […] der I. Rechtsanwälte AG am 17. Sep- tember 2024 zugestellt worden sei, zurückmelden (act. 1, S. 3 f.). In ihrer Replik führt die Beschwerdeführerin 1 weiter aus, dass gemäss Empfangs- bestätigung am 11. September 2024 eine Person namens «L.» die Schluss- verfügungen (in Y. [SG]) entgegengenommen habe. Eine solche Person sei der Beschwerdeführerin 1 nicht bekannt, und diese sei jedenfalls nicht zur Entgegennahme von Sendungen im Namen der Beschwerdeführerin 1 be- rechtigt. Offensichtlich sei der Schweizerischen Post ein Fehler unterlaufen. Es könne gar nicht sein, dass eine Person namens «L.» die Sendungen ent- gegengenommen habe, weil diese ja postalisch aufgrund der Postumleitung am 17. September 2024 bei der I. Rechtsanwälte AG eingetroffen sei. Es sei bekannt, dass die Schweizerische Post Sendungen falsch zustelle. Einer Aktennotiz in den Verfahrensakten sei zu entnehmen, dass bereits eine Sendung an die Beschwerdeführerin 1 nicht habe zugestellt werden können. In den Akten würden sich jedoch keine Belege zur entsprechenden Aussage der zuständigen Staatsanwältin finden, weshalb die Vorinstanz aufzufordern sei, die Akten entsprechend zu vervollständigen. Gemäss Aussage der Staatsanwältin sei nämlich die Schweizerische Post unfähig gewesen, die am 28. August 2024 erlassenen Schlussverfügungen korrekt zuzustellen, was nahelege, dass die Empfangsbestätigung der Schweizerischen Post, wonach eine Person namens «L.» die Schlussverfügung entgegengenom- men haben soll, falsch sein müsse (act. 17, S. 4 f.).</w:t>
      </w:r>
    </w:p>
    <w:p>
      <w:r>
        <w:t>Berechnet sich eine Frist nach Tagen und bedarf sie der Mitteilung an die Parteien, so beginnt sie an dem auf ihre Mitteilung folgenden Tage zu laufen (Art. 20 Abs. 1 VwVG). Ist der letzte Tag der Frist ein Samstag, Sonntag oder ein vom Bundesrecht oder vom kantonalen Recht anerkannter Feiertag, so endet sie am nächstfolgenden Werktag. Massgebend ist das Recht des Kantons, an dem die Partei oder ihr Vertreter Wohnsitz oder Sitz hat (Art. 20 Abs. 3 VwVG). Schriftliche Eingaben müssen spätestens am letzten Tage der Frist der Behörde eingereicht oder zu deren Handen der schweizerischen Post oder einer schweizerischen diplomatischen oder konsularischen Ver- tretung übergeben werden (Art. 21 Abs. 1 VwVG).</w:t>
      </w:r>
    </w:p>
    <w:p>
      <w:r>
        <w:t>Bei eingeschriebenen Sendungen wird die Briefsendung grundsätzlich nur gegen Unterschrift der Empfängerin oder des Empfängers ausgehändigt</w:t>
      </w:r>
    </w:p>
    <w:p>
      <w:r>
        <w:t>- 9 -</w:t>
      </w:r>
    </w:p>
    <w:p>
      <w:r>
        <w:t>(Ziff. 2.5.1 der Allgemeinen Geschäftsbedingungen «Postdienstleistungen» vom Januar 2025 [nachfolgend «AGB Postdienstleistungen], abrufbar unter https://www.post.ch/de/pages/footer/allgemeine-geschaeftsbedingungen- agb). Neben der Empfängerin oder dem Empfänger sind zudem sämtliche im selben Wohn- oder Geschäftsdomizil anzutreffende Personen zum Bezug der Sendungen berechtigt sowie eine allfällige von der Empfängerin oder vom Empfänger bezeichnete Stellvertretung (Ziff. 2.5.5 AGB Postdienstleis- tungen). Vorbehalten bleiben anderslautende Weisungen der absendenden oder empfangenden Person gemäss dem Angebot der Post (Ziff. 2.5.2 AGB Postdienstleistungen). Mit der Unterschrift der berechtigten Person wird ein rechtlich verbindlicher Nachweis als Bestätigung der erfolgreichen Zustel- lung erbracht. Sowohl der Weg der Zustellung als auch der Zustellungsnach- weis selbst sind über die elektronische Sendungsverfolgung «Track &amp; Trace» einsehbar (EGLI, in: Waldmann/Krauskopf [Hrsg.], Praxiskommentar Verwaltungsverfahrensgesetz, 3. Aufl. 2023, N 30 zu Art. 20 VwVG).</w:t>
      </w:r>
    </w:p>
    <w:p>
      <w:r>
        <w:t>Die Beschwerdegegnerin führte unter Hinweis auf die Aktennotiz vom 21. Oktober 2024 aus, sie habe die Schlussverfügungen i.S. Beschwerde- führerin 1 am 28. August 2024 zunächst fälschlicherweise an eine Adresse in St. Gallen geschickt, woraufhin diese von der Post mit dem Vermerk «Empfänger konnte unter der angegebenen Adresse nicht ermittelt werden» retourniert worden seien. Dies habe zur Korrektur der Zustelladresse der Beschwerdeführerin 1 und zum Neuversand der Schlussverfügungen am 10. September 2024 geführt (act. 20, S. 2; RR.2024.115-116, act. 19, S. 2). Die Schlussverfügungen seien infolge Niederlegung des Mandates durch RA Bühler am 1. Juli 2024 an den Sitz der Beschwerdeführerin 1 in Y. (SG) versandt worden (act. 8, S. 3; RR.2024.115-116, act. 7, S. 3).</w:t>
      </w:r>
    </w:p>
    <w:p>
      <w:r>
        <w:t>Gemäss dem Track&amp;Trace-Auszug der Schweizerischen Post vom 13. No- vember 2024 wurden die angefochtenen Schlussverfügungen vom 10. Sep- tember 2024 am 11. September 2024 am Sitz der Beschwerdeführerin 1, […] in Y. (SG), um 12.01 Uhr, zugestellt, wobei eine Person namens L., die of- fenbar am Domizil angetroffen werden konnte, die Empfangsbestätigung un- terschrieben hat (act. 14.1; RR.2024.115-116, act. 13.1). Damit gelten die Schlussverfügungen als am 11. September 2024 zugestellt, weshalb die 30- tägige Beschwerdefrist am 11. Oktober 2024 abgelaufen und die mit Post- stempel vom 17. Oktober 2024 erhobenen Beschwerden verspätet einge- reicht worden sind. Daran ändert auch der am 21. Juni 2012 mit der Schwei- zerischen Post abgeschlossene Umleitungsauftrag, welchen die Beschwerdeführerin 1 ins Recht gelegt hat, nichts. Diesem ist zu entnehmen, dass Sendungen an die Beschwerdeführerin 1, c/o […], Lugano, bis auf Widerruf an die J.-Strasse, St. Gallen, umzuleiten sind (act. 1.4.1;</w:t>
      </w:r>
    </w:p>
    <w:p>
      <w:r>
        <w:t>- 10 -</w:t>
      </w:r>
    </w:p>
    <w:p>
      <w:r>
        <w:t>RR.2024.115-116, act. 1.4.1). Ob dieser Umleitungsauftrag auch heute noch nach 13 Jahren für Sendungen der Beschwerdeführerin 1 gilt, welche mittlerweile ihren Sitz in Y. (SG) hat, und die neu an die Adresse K.-Strasse, Postfach […], St. Gallen, umgeleitet werden sollen – wie dies von der Beschwerdeführerin 1 behauptet wird –, erschliesst sich aus den Akten nicht. Der auf dem Umleitungsauftrag an einem unbekannten Datum von einem nicht bekannten Verfasser handschriftlich angebrachte Vermerk «Stand 16.10.24» ändert daran nichts. Zumindest kann der handschriftliche Vermerk keinem Postmitarbeitenden zugeordnet werden. Darauf hat die Beschwer- degegnerin zu Recht hingewiesen. Auch das Kontaktformular der Schwei- zerischen Post vom 16. Oktober 2024 vermag entgegen der Behauptung der Beschwerdeführerin 1 nicht zu belegen, dass der im Jahre 2012 abge- schlossene Umleitungsauftrag nach wie vor Gültigkeit hat (act. 1.4.2; RR.2024.115-116, act. 1.4.2). Diesem Formular ist einzig die (aktuelle) Adresse der Beschwerdeführerin 1 und die Postaufgabe vom 10. Septem- ber 2024 zu entnehmen. Andere, weiterführende Informationen enthält das Formular nicht. Nichts zu ihren Gunsten ableiten kann die Beschwerde- führerin 1 schliesslich aus dem Umstand, dass die Beschwerdegegnerin die Schlussverfügungen zunächst an eine falsche Adresse in St. Gallen ge- schickt hatte und diese Sendungen alsdann von Post (richtigerweise) zurückgesandt wurden. Der entsprechende Antrag auf Ergänzung der Akten mit der fälschlicherweise an die Adresse in St. Gallen zugestellten Schluss- verfügungen ist daher ohne Weiters abzuweisen. Anhaltspunkte für einen Zustellungsfehler auf Seiten der Post liegen keine vor. Auf welchem Weg schliesslich die Schlussverfügungen vom Domizil der Beschwerdeführerin 1 an die Adresse in St. Gallen (K.-Strasse, Postfach […], St. Gallen) gelangt ist, kann nur gemutmasst werden. Naheliegend ist, dass dies durch eine bei/nach Empfang der Schlussverfügungen am Sitz der Beschwerdeführerin 1 anwesenden Person veranlasst worden ist. Letztlich braucht diese Frage jedoch nicht geklärt zu werden, da – wie bereits dargelegt – die Schlussver- fügungen am 11. September 2024 rechtmässig am Sitz der Beschwerdefüh- rerin 1 zugestellt wurden. Einen Nachweis der Post, dass die fraglichen Sendungen in das Postfach […] der I. Rechtsanwälte AG am 17. Septem- ber 2024 zugestellt worden seien, hat die Beschwerdeführerin 1 bis heute nicht beigebracht, obwohl sie in ihren Beschwerden vom 17. Oktober 2024 eine solche Bestätigung der Post in den kommenden Tagen in Aussicht ge- stellt hatte.</w:t>
      </w:r>
    </w:p>
    <w:p>
      <w:r>
        <w:t>Nach dem Gesagten ist auf die verspätet eingereichten Beschwerden der Beschwerdeführerin 1 nicht einzutreten.</w:t>
      </w:r>
    </w:p>
    <w:p>
      <w:r>
        <w:t>- 11 -</w:t>
      </w:r>
    </w:p>
    <w:p>
      <w:r>
        <w:rPr>
          <w:b/>
        </w:rPr>
        <w:t>E. 4</w:t>
      </w:r>
    </w:p>
    <w:p>
      <w:r>
        <w:t>Bei diesem Ausgang des Verfahrens sind die Gerichtskosten den Beschwer- deführern aufzuerlegen (Art. 63 Abs. 1 VwVG). Die Gerichtsgebühr ist auf Fr. 3'000.– festzusetzen (vgl. Art. 63 Abs. 5 VwVG i.V.m. Art. 73 StBOG sowie Art. 5 und 8 Abs. 3 lit. a BStKR), unter Anrechnung des entsprechen- den Betrags an den geleisteten Kostenvorschüssen in beiden Verfahren von insgesamt Fr. 8'000.–. Die Bundesstrafgerichtskasse ist anzuweisen, den Beschwerdeführern den Restbetrag von Fr. 5'000.– zurückzuerstatten.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