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RR.2024.11 vom 12. März 2024</w:t>
      </w:r>
    </w:p>
    <w:p>
      <w:r>
        <w:t>Bundesstrafgericht, 2024-03-12, FR</w:t>
      </w:r>
    </w:p>
    <w:p>
      <w:r>
        <w:rPr>
          <w:b/>
        </w:rPr>
        <w:t xml:space="preserve">Quelle: </w:t>
      </w:r>
      <w:r>
        <w:t>https://mcp.opencaselaw.ch/entscheid/bstger_RR.2024.11</w:t>
      </w:r>
    </w:p>
    <w:p>
      <w:r>
        <w:t>FR: TPF RR.2024.11 du 12 mars 2024</w:t>
      </w:r>
    </w:p>
    <w:p>
      <w:r>
        <w:t>IT: TPF RR.2024.11 del 12 marzo 2024</w:t>
      </w:r>
    </w:p>
    <w:p>
      <w:pPr>
        <w:pStyle w:val="Heading2"/>
      </w:pPr>
      <w:r>
        <w:t>Regeste</w:t>
      </w:r>
    </w:p>
    <w:p>
      <w:r>
        <w:t>Entraide judiciaire internationale en matière pénale au Brésil; remise de moyens de preuve (art. 74 EIMP); saisie conservatoire (art. 33a OEIMP); retrait du recours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du Tribunal pénal fédéral sur les frais, émoluments, dépens, et indemnités de la procédure pénale fédérale (RFPPF; RS 173.713.162), ainsi que de l'art. 63 al. 5 PA.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