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RR.2024.105 vom 21. November 2024</w:t>
      </w:r>
    </w:p>
    <w:p>
      <w:r>
        <w:t>Bundesstrafgericht, 2024-11-21, DE</w:t>
      </w:r>
    </w:p>
    <w:p>
      <w:r>
        <w:rPr>
          <w:b/>
        </w:rPr>
        <w:t xml:space="preserve">Quelle: </w:t>
      </w:r>
      <w:r>
        <w:t>https://mcp.opencaselaw.ch/entscheid/bstger_RR.2024.105</w:t>
      </w:r>
    </w:p>
    <w:p>
      <w:r>
        <w:t>FR: TPF RR.2024.105 du 21 novembre 2024</w:t>
      </w:r>
    </w:p>
    <w:p>
      <w:r>
        <w:t>IT: TPF RR.2024.105 del 21 novembre 2024</w:t>
      </w:r>
    </w:p>
    <w:p>
      <w:pPr>
        <w:pStyle w:val="Heading2"/>
      </w:pPr>
      <w:r>
        <w:t>Regeste</w:t>
      </w:r>
    </w:p>
    <w:p>
      <w:r>
        <w:t>Auslieferung an Italien; Auslieferungsentscheid (Art. 55 IRSG); Ausstand (Art. 10 VwVG)</w:t>
      </w:r>
    </w:p>
    <w:p>
      <w:pPr>
        <w:pStyle w:val="Heading2"/>
      </w:pPr>
      <w:r>
        <w:t>Erwägungen</w:t>
      </w:r>
    </w:p>
    <w:p>
      <w:r>
        <w:rPr>
          <w:b/>
        </w:rPr>
        <w:t>E. 1.1</w:t>
      </w:r>
    </w:p>
    <w:p>
      <w:r>
        <w:t>Für den Auslieferungsverkehr zwischen der Schweiz und Italien sind primär das EAUe sowie die hierzu ergangenen Zusatzprotokolle vom 17. März 1978 (ZPII EAUe; SR 0.353.12), vom 10. November 2010 (ZPIII EAUe; SR 0.353.13) und vom 20. September 2012 (ZPIV EAUe; SR 0.353.14), welchen beide Staaten beigetreten sind, massgebend. Überdies anwendbar sind das Übereinkommen vom 19. Juni 1990 zur Durchführung des Überein- kommens von Schengen vom 14. Juni 1985 (Schengener Durchführungs- übereinkommen [SDÜ]; CELEX-Nr. 42000A0922(02); Abl. L 239 vom</w:t>
      </w:r>
    </w:p>
    <w:p>
      <w:r>
        <w:t>- 6 -</w:t>
      </w:r>
    </w:p>
    <w:p>
      <w:r>
        <w:t>22. September 2000, S. 19–62; Text nicht publiziert in der SR, jedoch abruf- bar auf der Website der Schweizerischen Eidgenossenschaft unter «Rechts- sammlung zu den sektoriellen Abkommen mit der EU», 8.1 Anhang A; https://www.fedlex.admin.ch/de/sector-specific-agreements/EU-acts-regis- ter/8) i.V.m. der Verordnung (EU) 2018/1862 des Europäischen Parlaments und des Rates vom 28. November 2018 über die Einrichtung, den Betrieb und die Nutzung des Schengener Informationssystems (SIS) im Bereich der polizeilichen Zusammenarbeit und der justiziellen Zusammenarbeit in Straf- sachen, zur Änderung und Aufhebung des Beschlusses 2007/533/JI des Rates und zur Aufhebung der Verordnung (EG) Nr. 1986/2006 des Europäi- schen Parlaments und des Rates und des Beschlusses 2010/261/EU der Kommission, namentlich Art. 26–31 (CELEX-Nr. 32018R1862; Abl. L 312 vom 7. Dezember 2018, S. 56–106; abrufbar unter «Rechtssammlung zu den sektoriellen Abkommen mit der EU», 8.4 Weiterentwicklungen des Schengen-Besitzstands), sowie diejenigen Bestimmungen des Übereinkom- mens vom 27. September 1996 über die Auslieferung zwischen den Mitglied- staaten der Europäischen Union (EU-Auslieferungsübereinkommen; CELEX-Nr. 41996A1023(02); Abl. C 313 vom 23. Oktober 1996, S. 12–23), welche gemäss dem Beschluss des Rates 2003/169/JI vom 27. Februar 2003 (CELEX-Nr. 32003D0169; Abl. L 67 vom 12. März 2003, S. 25 f.; ab- rufbar unter «Rechtssammlung zu den sektoriellen Abkommen mit der EU», 8.2 Anhang B) eine Weiterentwicklung des Schengen-Besitzstands darstel- len. Die zwischen den Vertragsparteien geltenden weitergehenden Bestim- mungen aufgrund bilateraler oder multilateraler Abkommen bleiben unbe- rührt (Art. 59 Abs. 2 SDÜ; Art. 1 Abs. 2 EU-Auslieferungsübereinkommen).</w:t>
      </w:r>
    </w:p>
    <w:p>
      <w:r>
        <w:rPr>
          <w:b/>
        </w:rPr>
        <w:t>E. 1.2</w:t>
      </w:r>
    </w:p>
    <w:p>
      <w:r>
        <w:t>Soweit diese Staatsverträge bestimmte Fragen nicht abschliessend regeln, finden das Bundesgesetz vom 20. März 1981 (Rechtshilfegesetz, IRSG; SR 351.1) und die Verordnung vom 24. Februar 1982 über internationale Rechtshilfe in Strafsachen (Rechtshilfeverordnung, IRSV; SR 351.11) Anwendung (Art. 1 Abs. 1 lit. a IRSG). Das innerstaatliche Recht gelangt nach dem Günstigkeitsprinzip auch dann zur Anwendung, wenn es geringere Anforderungen an die Rechtshilfe stellt (BGE 149 IV 376 E. 2.1 S. 380; 148 IV 314 E. 2.1; 147 II 432 E. 3.1 S. 437 f.; 145 IV 294 E. 2.1 S. 297; jeweils m.w.H.). Vorbehalten bleibt die Wahrung der Menschenrechte (BGE 145 IV 294 E. 2.1 S. 297; 123 II 595 E. 7c S. 617; TPF 2020 64 E. 1.1 S. 67). Auf Beschwerdeverfahren in internationalen Rechtshilfeangelegenheiten sind zudem die Bestimmungen des Bundesgesetzes vom 20. Dezember 1968 über das Verwaltungsverfahren (Verwaltungsverfahrensgesetz, VwVG; SR 172.021) anwendbar (Art. 39 Abs. 2 lit. b i.V.m. Art. 37 Abs. 2 lit. a Ziff. 1 StBOG), wenn das IRSG nichts anderes bestimmt (siehe Art. 12 Abs. 1 IRSG).</w:t>
      </w:r>
    </w:p>
    <w:p>
      <w:r>
        <w:t>- 7 -</w:t>
      </w:r>
    </w:p>
    <w:p>
      <w:r>
        <w:rPr>
          <w:b/>
        </w:rPr>
        <w:t>E. 2.1</w:t>
      </w:r>
    </w:p>
    <w:p>
      <w:r>
        <w:t>Gegen Auslieferungsentscheide des BJ kann innert 30 Tagen seit der Eröff- nung des Entscheids bei der Beschwerdekammer des Bundesstrafgerichts Beschwerde geführt werden (Art. 55 Abs. 3 i.V.m. Art. 25 Abs. 1 IRSG; Art. 50 Abs. 1 VwVG).</w:t>
      </w:r>
    </w:p>
    <w:p>
      <w:r>
        <w:rPr>
          <w:b/>
        </w:rPr>
        <w:t>E. 2.2</w:t>
      </w:r>
    </w:p>
    <w:p>
      <w:r>
        <w:t>Der Auslieferungsentscheid vom 15. August 2024 ist dem Vertreter des Beschwerdeführers am 19. August 2024 zugestellt worden (vgl. act. 5.25), womit die Beschwerde am 18. September 2024 fristgerecht erhoben worden ist. Der Beschwerdeführer ist als Adressat des Auslieferungsentscheids ohne Weiteres zu dessen Anfechtung legitimiert. Auf die Beschwerde ist ein- zutreten.</w:t>
      </w:r>
    </w:p>
    <w:p>
      <w:r>
        <w:rPr>
          <w:b/>
        </w:rPr>
        <w:t>E. 3</w:t>
      </w:r>
    </w:p>
    <w:p>
      <w:r>
        <w:t>Die Beschwerdekammer ist nicht an die Begehren der Parteien gebunden (Art. 25 Abs. 6 IRSG). Sie prüft die bei ihr erhobenen Rügen grundsätzlich mit freier Kognition, befasst sich jedoch nur mit Tat- und Rechtsfragen, die Streitgegenstand der Beschwerde bilden (BGE 132 II 81 E. 1.4; 130 II 337 E. 1.4; Urteil des Bundesgerichts 1A.1/2009 vom 20. März 2009 E. 1.6; TPF 2011 97 E. 5).</w:t>
      </w:r>
    </w:p>
    <w:p>
      <w:r>
        <w:rPr>
          <w:b/>
        </w:rPr>
        <w:t>E. 4.1</w:t>
      </w:r>
    </w:p>
    <w:p>
      <w:r>
        <w:t>Am 11. Oktober 2024 verlangte der Vertreter des Beschwerdeführers, den Instruktionsrichter Felix Ulrich unverzüglich in den Ausstand zu versetzen (act. 11). In seinem Ersuchen nahm der Beschwerdeführer Bezug auf den gleichentags erfolgten verweigerten Aktenbeizug und die (teilweise) verwei- gerte Fristerstreckung (vgl. hierzu act. 10 sowie oben Sachverhalt, lit. E). Der verweigerte Aktenbeizug bedeute, dass sich der betroffene Richter bezüglich der Würdigung der vorhandenen Akten sowie des Ausgangs des Verfahrens längst festgelegt habe, womit Letzterer nicht mehr offen sei. Damit und mit der nicht ausreichend erstreckten Frist werde die Verteidigungsarbeit maxi- mal behindert, worin ein feindseliger Akt zu erblicken sei.</w:t>
      </w:r>
    </w:p>
    <w:p>
      <w:r>
        <w:rPr>
          <w:b/>
        </w:rPr>
        <w:t>E. 4.2.1</w:t>
      </w:r>
    </w:p>
    <w:p>
      <w:r>
        <w:t>Gemäss Art. 10 VwVG treten Personen, die eine Verfügung zu treffen oder diese vorzubereiten haben, in Ausstand, wenn sie in der Sache ein persön- liches Interesse haben (lit. a), mit einer Partei durch Ehe oder eingetragene Partnerschaft verbunden sind oder mit ihr eine faktische Lebensgemein- schaft führen (lit. b), mit einer Partei in gerader Linie oder bis zum dritten Grade in der Seitenlinie verwandt oder verschwägert sind (lit. bbis), Vertreter einer Partei sind oder für eine Partei in der gleichen Sache tätig waren (lit. c)</w:t>
      </w:r>
    </w:p>
    <w:p>
      <w:r>
        <w:t>- 8 -</w:t>
      </w:r>
    </w:p>
    <w:p>
      <w:r>
        <w:t>oder aus anderen Gründen in der Sache befangen sein könnten (lit. d). Letzteres ist nach der Rechtsprechung der Fall, wenn Umstände bestehen, die das Misstrauen in die Unbefangenheit und damit die Unparteilichkeit des Betroffenen objektiv rechtfertigen. Auf das subjektive Empfinden der Partei, welche die Befangenheit behauptet, kommt es dabei ebenso wenig an wie darauf, ob der Betroffene tatsächlich befangen ist. Es genügt, dass ein entsprechender Anschein durch objektive Umstände und vernünftige Gründe glaubhaft dargetan wird (BGE 137 II 431 E. 5.2 S. 452 m.w.H.; Entscheide des Bundesstrafgerichts RR.2024.91 vom 9. September 2024; RR.2023.170 vom 7. März 2024 E. 2.1.2; RR.2023.45 vom 10. August 2023 E. 3.1).</w:t>
      </w:r>
    </w:p>
    <w:p>
      <w:r>
        <w:rPr>
          <w:b/>
        </w:rPr>
        <w:t>E. 4.2.2</w:t>
      </w:r>
    </w:p>
    <w:p>
      <w:r>
        <w:t>Nach der bundesgerichtlichen Rechtsprechung begründet grundsätzlich keine Voreingenommenheit, wenn ein Richter schon vor dem eigentlichen Sachentscheid prozessuale Anordnungen trifft, auch wenn dabei bereits ge- wisse materielle Gesichtspunkte zu würdigen sind. Damit eine unzulässige Vorbefassung gegeben ist, müssen zusätzlich tatsächliche Gegebenheiten hinzutreten, welche ihrerseits den Anschein der Befangenheit zu erwecken vermögen. Dem Richter ist es nicht verwehrt, sich aufgrund der Akten eine vorläufige Meinung zu bilden, solange er innerlich frei ist, aufgrund der in der Verhandlung vorgetragenen Argumente zu einem anderen Ergebnis zu gelangen. Die Garantie der Unvoreingenommenheit ist erst verletzt, wenn der Anschein erweckt wird, der Richter habe sich bereits so festgelegt, dass daran die Argumente der Verteidigung nichts mehr zu ändern vermöchten (vgl. hierzu das Urteil des Bundesgerichts 1B_549/2017 vom 16. Februar 2018 E. 2 m.w.H.).</w:t>
      </w:r>
    </w:p>
    <w:p>
      <w:r>
        <w:rPr>
          <w:b/>
        </w:rPr>
        <w:t>E. 4.3</w:t>
      </w:r>
    </w:p>
    <w:p>
      <w:r>
        <w:t>Da der abgelehnte Richter, der über die ihn betreffenden Ausstandsgründe selber urteilt, eher geneigt sein könnte, ein gegen ihn gerichtetes Ausstands- begehren abzulehnen, sollen Ausstandsbegehren grundsätzlich durch Richterinnen und Richter beurteilt werden, gegen die kein streitiger Aus- standsgrund vorliegt (BGE 145 III 469 E. 3.2; 122 II 471 E 3a S. 476; 105 Ib 301 E. 1b S. 303). Dieser Grundsatz schlägt sich in der Regelung von Art. 10 Abs. 2 VwVG nieder, die vorsieht, dass bei streitigem Ausstand eines Mitglieds einer Kollegialbehörde diese Behörde unter Ausschluss des betref- fenden Mitglieds entscheidet. Gemäss bundesgerichtlicher Rechtsprechung gilt dieser Grundsatz jedoch nicht ausnahmslos und ein abgelehntes Gericht kann selbst über ein missbräuchliches oder untaugliches Ausstandsgesuch befinden, auch wenn gemäss dem anwendbaren Verfahrensrecht eine andere Instanz darüber zu entscheiden hätte. Die Missbräuchlichkeit bzw. Untauglichkeit eines Ausstandsgesuchs darf jedoch nicht leichthin angenom- men werden, denn es handelt sich dabei um eine Ausnahme vom Grundsatz, dass das zuständige Gericht über den Ausstand des Richters in dessen</w:t>
      </w:r>
    </w:p>
    <w:p>
      <w:r>
        <w:t>- 9 -</w:t>
      </w:r>
    </w:p>
    <w:p>
      <w:r>
        <w:t>Abwesenheit zu befinden hat (Urteile des Bundesgerichts 1C_483/2017 vom 12. Januar 2018 E. 2.3; 2C_912/2017 vom 18. Dezember 2017 E. 2.2 mit weiteren Hinweisen).</w:t>
      </w:r>
    </w:p>
    <w:p>
      <w:r>
        <w:rPr>
          <w:b/>
        </w:rPr>
        <w:t>E. 4.4</w:t>
      </w:r>
    </w:p>
    <w:p>
      <w:r>
        <w:t>Die Beschwerde ist nur im Rahmen des Streitgegenstands zulässig. Dieser wird durch das Anfechtungsobjekt, d.h. den angefochtenen Entscheid, und die Parteibegehren bestimmt, wobei der angefochtene Entscheid (vorliegend die zur Diskussion stehende Auslieferung des Beschwerdeführers an Italien; vgl. auch act. 1, Rz. 2) den möglichen Streitgegenstand begrenzt (BGE 142 I 155 E. 4.4.2 m.w.H.). Beweisthema des vom Instruktionsrichter abgelehn- ten Aktenbeizugs war demgegenüber die dem Beschwerdeführer in der Tür- kei drohende Verfolgung sowie die daraus abgeleitete Unzulässigkeit einer Weiterlieferung des Beschwerdeführers an die Türkei (vgl. act. 8 und 9). Eine solche bildet offensichtlich nicht Gegenstand des vorliegenden Anfechtungs- objekts. So oder anders aber ergibt sich aus der Begründung zur Abweisung des beantragten Aktenbeizugs, dass der Instruktionsrichter diesen «derzeit» aufgrund einer «vorläufigen Würdigung der aktuell vorliegenden Akten» nicht als notwendig erachtete (act. 10). Ein Rückkommen auf diese Frage (sei es durch ihn oder durch den gesamten Spruchkörper) blieb bei dieser Formu- lierung ohne Weiteres möglich. Von einem objektiven Anschein, dass die Beantwortung dieser prozessualen Frage oder gar der Ausgang des Beschwerdeverfahrens an sich nicht mehr offen erschien, kann keine Rede sein. Die vom Beschwerdeführer als zu kurz monierte Fristerstreckung bewegt sich im Rahmen der üblichen Praxis der Beschwerdekammer. Ein Akt der Feindseligkeit ist darin auch mit Blick auf das in Art. 17a IRSG fest- gehaltene Gebot der raschen Erledigung offensichtlich nicht zu erkennen. Abschliessend ist zu bemerken, dass der Vertreter des Beschwerdeführers erst nach (teilweise) erfolgter Gewährung der Fristerstreckung genauere Angaben zum Beginn und damit zur gesamten Dauer seiner Ferienabwe- senheit machte (siehe act. 11, S. 2 im Gegensatz zu act. 9, S. 2), womit diese beim kritisierten Entscheid des Instruktionsrichters von Beginn weg keine Berücksichtigung finden konnten.</w:t>
      </w:r>
    </w:p>
    <w:p>
      <w:r>
        <w:rPr>
          <w:b/>
        </w:rPr>
        <w:t>E. 4.5</w:t>
      </w:r>
    </w:p>
    <w:p>
      <w:r>
        <w:t>Die geltend gemachten Gründe sind nicht geeignet, einen Anschein der Befangenheit des Instruktionsrichters auch nur ansatzweise zu begründen. Das Ausstandsgesuch ist dementsprechend als untauglich im Sinne der oben genannten Rechtsprechung zu bezeichnen und ohne Weiteres abzu- weisen, weshalb der vorliegende Entscheid unter Beteiligung des Instrukti- onsrichters ergeht.</w:t>
      </w:r>
    </w:p>
    <w:p>
      <w:r>
        <w:t>- 10 -</w:t>
      </w:r>
    </w:p>
    <w:p>
      <w:r>
        <w:rPr>
          <w:b/>
        </w:rPr>
        <w:t>E. 5.1</w:t>
      </w:r>
    </w:p>
    <w:p>
      <w:r>
        <w:t>Mit seinem Verfahrensantrag Ziff. 8 verlangt der Beschwerdeführer wie be- reits im Verfahren betreffend Auslieferungshaftbefehl die Übersetzung der vom ersuchenden Staat in italienischer Sprache vorgelegten Unterlagen in die deutsche Sprache (siehe hierzu act. 1, Rz. 8 ff.). Gemäss Art. 33a Abs. 4 VwVG ordnet die Behörde eine Übersetzung an, wo dies nötig ist. Nach kon- stanter Rechtsprechung ergibt sich auch aus der Garantie des rechtlichen Gehörs nach Art. 29 Abs. 2 BV kein Anspruch auf Übersetzung von Akten- stücken aus einer schweizerischen Amtssprache in eine andere (Urteile des Bundesgerichts 2C_201/2013 vom 24. Januar 2014 E. 4.2; 1A.37/2001 vom 12. Juli 2001 E. 3b). Zudem wird von Schweizer Rechtsanwälten und Rechts- anwältinnen zumindest im Bereich der internationalen Rechtshilfe die pas- sive Kenntnis der Amtssprachen Deutsch, Französisch und Italienisch erwar- tet (Urteile des Bundesgerichts 2C_201/2013 vom 24. Januar 2014 E. 4.2; 1A.275/2003, 1A.276/2003 und 1A.277/2003 [jeweils] vom 27. Januar 2004 E. 2.2; 1A.43/2003 vom 23. April 2003 E. 2.2; Entscheide des Bundesstraf- gerichts RR.2023.54 vom 14. Juni 2023 E. 2.2; RR.2019.209 vom 7. Novem- ber 2019 E. 4.2; RR.2016.251 vom 21. Juli 2017 E. 3.6.5; RR.2016.84 vom 20. September 2016 E. 4.2; RR.2015.215 vom 15. Oktober 2015 E. 3.6; RR.2013.164 vom 11. Februar 2014 E. 4.3.5; vgl. ferner TPF 2023 156 E. 2.7.2 S. 158). Andernfalls läge es an ihm oder ihr selbst, für die notwen- dige Übersetzung von in italienischer Sprache verfassten Akten zu sorgen. Sofern der Beschwerdeführer in diesem Punkt eine Verletzung von Art. 6 Abs. 3 lit. a oder b EMRK geltend macht, ist festzuhalten, dass es im Verfah- ren zur Prüfung von Auslieferungsersuchen nicht um eine strafrechtliche Anklage im Sinne dieser Bestimmungen geht. Nach ständiger Praxis des Bundesgerichts und fast einhelliger Lehre sind die spezifischen Verteidi- gungsrechte von Art. 6 EMRK im Auslieferungsverfahren grundsätzlich nicht anwendbar (siehe den Entscheid des Bundesstrafgerichts RR.2021.127 vom 16. November 2021 E. 6.4 m.w.H.). Der entsprechende Verfahrensantrag ist abzuweisen.</w:t>
      </w:r>
    </w:p>
    <w:p>
      <w:r>
        <w:rPr>
          <w:b/>
        </w:rPr>
        <w:t>E. 5.2</w:t>
      </w:r>
    </w:p>
    <w:p>
      <w:r>
        <w:t>Aus denselben Gründen erweist sich die Beschwerde als unbegründet, so- weit der Beschwerdeführer eine Verletzung seines Anspruchs auf rechtliches Gehör im erstinstanzlichen Verfahren geltend macht, weil sich der angefoch- tene Entscheid auf nicht übersetzte Unterlagen aus Italien stütze (siehe u.a. act. 1, Rz. 13, 15 ff., 31 ff.).</w:t>
      </w:r>
    </w:p>
    <w:p>
      <w:r>
        <w:t>- 11 -</w:t>
      </w:r>
    </w:p>
    <w:p>
      <w:r>
        <w:rPr>
          <w:b/>
        </w:rPr>
        <w:t>E. 6</w:t>
      </w:r>
    </w:p>
    <w:p>
      <w:r>
        <w:t>In materieller Hinsicht macht der Beschwerdeführer geltend, das Ausliefe- rungsersuchen leide an offensichtlichen Fehlern, Lücken und Widersprü- chen, weshalb die Auslieferung abzulehnen oder zumindest zu präzisieren sei. Weiter unterstünden die dem Beschwerdeführer vorgeworfenen Taten grundsätzlich der schweizerischen Gerichtsbarkeit, was ein weiteres Auslie- ferungshindernis darstelle. Die Auslieferung des Beschwerdeführers sei mit Blick auf den Tatvorwurf unverhältnismässig und verstosse wegen der Haft- bedingungen in Italien auch gegen Art. 3 EMRK. Wegen der drohenden Kettenauslieferung an die Türkei verstosse die Auslieferung des Beschwer- deführers an Italien schliesslich auch gegen das Non-Refoulement-Prinzip (siehe act. 1, Rz. 14 und 81).</w:t>
      </w:r>
    </w:p>
    <w:p>
      <w:r>
        <w:rPr>
          <w:b/>
        </w:rPr>
        <w:t>E. 7.1</w:t>
      </w:r>
    </w:p>
    <w:p>
      <w:r>
        <w:t>Zur geltend gemachten Fehler- und Lückenhaftigkeit sowie Widersprüchlich- keit des Auslieferungsersuchens äussert sich der Beschwerdeführer in erster Linie in act. 1, Rz. 49 ff. sowie in act. 12, S. 1 f. An anderer Stelle rügt er sinngemäss, der untersuchende Staat habe keinerlei Unterlagen präsentiert, welche den ihm gegenüber erhobenen Vorwurf konkret erhärten würden (act. 1, Rz. 44).</w:t>
      </w:r>
    </w:p>
    <w:p>
      <w:r>
        <w:rPr>
          <w:b/>
        </w:rPr>
        <w:t>E. 7.2.1</w:t>
      </w:r>
    </w:p>
    <w:p>
      <w:r>
        <w:t>Gemäss Art. 1 EAUe sind die Vertragsparteien grundsätzlich verpflichtet, einander Personen auszuliefern, die von den Justizbehörden des ersuchen- den Staates wegen einer strafbaren Handlung verfolgt oder zur Vollstre- ckung einer Strafe oder einer sichernden Massnahme gesucht werden. Auszuliefern ist wegen Handlungen, die sowohl nach dem Recht des ersuchenden als auch nach demjenigen des ersuchten Staates mit einer Freiheitsstrafe (oder die Freiheit beschränkenden sichernden Massnahme) im Höchstmass von mindestens einem Jahr oder mit einer schwereren Strafe bedroht sind (Art. 2 Abs. 1 erster Satz EAUe; vgl. auch Art. 35 Abs. 1 IRSG). Gemäss Art. 2 Abs. 1 des EU-Auslieferungsübereinkommens genügt bereits ein Höchstmass an Strafandrohung von mindestens sechs Monaten nach dem Recht des ersuchten Staates.</w:t>
      </w:r>
    </w:p>
    <w:p>
      <w:r>
        <w:rPr>
          <w:b/>
        </w:rPr>
        <w:t>E. 7.2.2</w:t>
      </w:r>
    </w:p>
    <w:p>
      <w:r>
        <w:t>Unter dem Gesichtspunkt des hier massgebenden Art. 12 EAUe reicht es in der Regel aus, wenn die Angaben im Rechtshilfeersuchen sowie in dessen Ergänzungen und Beilagen es den schweizerischen Behörden ermöglichen zu prüfen, ob ausreichende Anhaltspunkte für eine auslieferungsfähige Straftat vorliegen, ob Verweigerungsgründe gegeben sind bzw. für welche mutmasslichen Delikte dem Begehren allenfalls zu entsprechen ist. Das Rechtshilfegericht muss namentlich prüfen können, ob ein politisches Delikt</w:t>
      </w:r>
    </w:p>
    <w:p>
      <w:r>
        <w:t>- 12 -</w:t>
      </w:r>
    </w:p>
    <w:p>
      <w:r>
        <w:t>vorliegt und ob die Voraussetzung der beidseitigen Strafbarkeit erfüllt ist. Es kann hingegen nicht verlangt werden, dass die ersuchende Behörde die Tatvorwürfe bereits abschliessend mit Beweisen belegt. Das Rechtshilfege- richt hat weder Tat- noch Schuldfragen zu prüfen und grundsätzlich auch keine Beweiswürdigung vorzunehmen. Es ist vielmehr an die Sachverhalts- darstellung im Ersuchen gebunden, soweit sie nicht durch offensichtliche Fehler, Lücken oder Widersprüche entkräftet wird (BGE 133 IV 76 E. 2.2 m.w.H.; TPF 2012 114 E. 7.3 m.w.H.).</w:t>
      </w:r>
    </w:p>
    <w:p>
      <w:r>
        <w:rPr>
          <w:b/>
        </w:rPr>
        <w:t>E. 7.3.1</w:t>
      </w:r>
    </w:p>
    <w:p>
      <w:r>
        <w:t>Der dem Auslieferungsersuchen zu Grunde liegende Sachverhalt ergibt sich aus der entsprechenden Darstellung der Generalstaatsanwaltschaft vom 6. Mai 2024 (act. 5.11a) sowie dem bereits erwähnten Haftbefehl des zustän- digen Untersuchungsrichters am Gericht in Mailand vom 3. Mai 2024 (act. 5.11.b; siehe auch oben Sachverhalt, lit. B).</w:t>
      </w:r>
    </w:p>
    <w:p>
      <w:r>
        <w:rPr>
          <w:b/>
        </w:rPr>
        <w:t>E. 7.3.2</w:t>
      </w:r>
    </w:p>
    <w:p>
      <w:r>
        <w:t>Bei der Sachverhaltsdarstellung der Generalstaatsanwaltschaft (act. 5.11.a) handelt es sich um eine sehr kurze Zusammenfassung der an den Be- schwerdeführer und an drei weitere, in der Schweiz wohnhafte Mitbeschul- digte gerichteten Vorwürfe. Demnach seien die Beschuldigten im Rahmen einer kriminellen Vereinigung im internationalen Waffenhandel tätig. Chef dieser Organisation sei C. Nebst anderem sei die Organisation auch verant- wortlich für ein von Italien aus gesteuertes Tötungsdelikt in Y./Deutschland sowie für (teilweise vereitelte) Attentate in der Türkei. Die Organisation finan- ziere sich durch Betäubungsmittel-, Zigaretten- und Waffenhandel sowie durch Erpressungen.</w:t>
      </w:r>
    </w:p>
    <w:p>
      <w:r>
        <w:rPr>
          <w:b/>
        </w:rPr>
        <w:t>E. 7.3.3</w:t>
      </w:r>
    </w:p>
    <w:p>
      <w:r>
        <w:t>Die Sachverhaltsdarstellung im Haftbefehl vom 3. Mai 2024 ist weit ausführ- licher und detaillierter. Einleitend listet dieses Dokument die von der Staats- anwaltschaft in deren Gesuch um Haftanordnung vom 10. April 2024 den Beschuldigten gegenüber erhobenen Vorwürfe auf (S. 2–13). Ab S. 13 in fine finden sich die diesbezüglichen Erwägungen des Untersuchungsrichters und auf S. 109 f. die vom Untersuchungsrichter genehmigten Zwangsmassnah- men.</w:t>
      </w:r>
    </w:p>
    <w:p>
      <w:r>
        <w:t>Demnach geht die Staatsanwaltschaft unter dem Anwendungsbereich von Art. 416 des italienischen Strafgesetzbuchs (nachfolgend «CP») von einer Mitgliedschaft des Beschwerdeführers an oben erwähnter krimineller Verei- nigung unter der Leitung von C. aus (vgl. S. 2 des Haftbefehls). Konkret sei der Beschwerdeführer Teil der sog. Schweizer Zelle, welche C. Fahrzeuge und Waffen zur Verfügung stelle und diesen in Italien bewaffnet «eskortiere», Unterkünfte organisiere und die Einreise von C. nach Italien koordiniere im</w:t>
      </w:r>
    </w:p>
    <w:p>
      <w:r>
        <w:t>- 13 -</w:t>
      </w:r>
    </w:p>
    <w:p>
      <w:r>
        <w:t>Wissen darum, dass jener in der Türkei gesucht werde und auf der Flucht sei (vgl. S. 4 des Haftbefehls). Mit Bezug auf verschiedene Bestimmungen des italienischen Nebenstrafrechts wirft die Staatsanwaltschaft dem Be- schwerdeführer mittäterschaftlich begangenen Besitz und Tragen einer Schusswaffe vor. Konkret gehe es dabei um eine Pistole der Marke SIG Sauer (Mod. 1, Matrikelnummer 2), welche aus der Schweiz stammend wi- derrechtlich nach Italien eingeführt worden sei. Diese sei von den Beschul- digten in einem Zeitraum bis zum 3. August 2022 in X./Italien an Bord eines Autos der Marke Opel Insigna transportiert worden (vgl. S. 8 des Haftbe- fehls). Die Staatsanwaltschaft geht demnach auch vom möglichen Vorliegen einer Strafbarkeit wegen Bildung einer bewaffneten Gruppierung nach Art. 306 CP und weiteren Bestimmungen aus (vgl. S. 12 des Haftbefehls).</w:t>
      </w:r>
    </w:p>
    <w:p>
      <w:r>
        <w:t>Der Untersuchungsrichter bestätigte die beantragte Zwangsmassnahme hinsichtlich des in X./Italien im August 2022 als Teil der Eskorte von C. be- gangenen Verstosses gegen die italienische Waffengesetzgebung (vgl. S. 19 und 110 i.V.m. S. 8 des Haftbefehls). Demgegenüber erachtete der Untersuchungsrichter die (ihm präsentierte) Beweislage hinsichtlich des Vorwurfs der Mitgliedschaft des Beschwerdeführers an einer bewaffneten Gruppierung zur Begründung von Zwangsmassnahmen offenbar als unge- nügend (vgl. Haftbefehl S. 108).</w:t>
      </w:r>
    </w:p>
    <w:p>
      <w:r>
        <w:rPr>
          <w:b/>
        </w:rPr>
        <w:t>E. 7.4</w:t>
      </w:r>
    </w:p>
    <w:p>
      <w:r>
        <w:t>Diese Sachverhaltsdarstellung vermag den Anforderungen von Art. 12 EAUe und der diesbezüglich ergangenen Rechtsprechung (s. oben E. 7.2.2) trotz der Bestreitungen des Beschwerdeführers zu genügen und ist weder mit offensichtlichen Fehlern noch mit Lücken oder Widersprüchen behaftet. Der vom Beschwerdeführer in act. 1, Rz. 55 monierte Widerspruch zwischen S. 4 und 108 des Haftbefehls ist auf die unterschiedlichen Ansichten der Staats- anwaltschaft und des Untersuchungsrichters hinsichtlich der Beweislage zum Vorwurf der Beteiligung des Beschwerdeführers an einer kriminellen Organisation zurückzuführen (vgl. hierzu oben E. 7.3.3 in fine). Dieser vermag aber die Sachverhaltsdarstellung im Auslieferungsersuchen nicht in Frage zu stellen. Diesem ist mit hinreichender Deutlichkeit zu entnehmen, dass dem Beschwerdeführer mittäterschaftlich begangener Besitz und Tragen einer Schusswaffe vorgeworfen wird. Konkret gehe es um eine Pistole der Marke SIG Sauer (Mod. 1, Matrikelnummer 2), welche aus der Schweiz stammend widerrechtlich nach Italien eingeführt worden sei. Diese sei von den Beschuldigten (und damit auch vom Beschwerdeführer) in einem Zeitraum bis zum 3. August 2022 in X./Italien an Bord eines Autos der Marke Opel Insigna transportiert worden (vgl. S. 8 des Haftbefehls sowie die dies- bezüglichen, bestätigenden Erwägungen des Untersuchungsrichters im Haftbefehl, S. 19). Dass die erwähnte Waffe von den Behörden im Gepäck</w:t>
      </w:r>
    </w:p>
    <w:p>
      <w:r>
        <w:t>- 14 -</w:t>
      </w:r>
    </w:p>
    <w:p>
      <w:r>
        <w:t>des Mitbeschuldigten D. in dessen Hotelzimmer gefunden worden sei (so der Beschwerdeführer in act. 1, Rz. 57), vermag am Gesagten nichts zu ändern. Nichts zu seinen Gunsten kann der Beschwerdeführer aus der mehrfach an- geführten Passage auf S. 108 im Haftbefehl ableiten, wonach die einzigen Belastungsmomente gegen den Beschwerdeführer und gegen E. in deren Begleitung von C. im August 2022 in X./Italien lägen (vgl. hierzu act. 1, Rz. 54 und 62). Auf Grund der systematischen Einordnung dieser Passage im Haftbefehl betrifft diese eindeutig den Vorwurf der Mitgliedschaft des Beschwerdeführers in einer bewaffneten Gruppe und nicht den eben an- derswo abgehandelten Vorwurf des Verstosses gegen die Waffengesetzge- bung (siehe S. 8 und 19 des Haftbefehls). Die diesbezüglichen Bestreitungen des Beschwerdeführers erschöpfen sich teilweise in einer abweichenden eigenen Darstellung des Sachverhalts, mit welcher er grundsätzlich nicht zu hören ist (BGE 139 II 451 E. 2.2.1; TPF 2011 194 E. 2.1 S. 196). Schliesslich hat der ersuchende Staat dem Auslieferungsersuchen – anders als vom Beschwerdeführer offenbar gefordert (siehe act. 1, Rz. 44 oder 57) – keine Beweismittel zur Erhärtung des Tatverdachts beizulegen (siehe oben E. 7.2.2). Der dem Beschwerdeführer diesbezüglich erhobene Vorwurf kann nach schweizerischem Recht prima facie unter den Tatbestand von Art. 33 Abs. 1 lit. a des Bundesgesetzes vom 20. Juni 1997 über Waffen, Waffenzu- behör und Munition (Waffengesetz, WG; SR 514.54) subsumiert werden. Die Frage, ob in derselben Handlung darüber hinaus noch eine Unterstützung für eine kriminelle Organisation gesehen werden kann, bedarf vorliegend keiner Beantwortung. Für die vom Beschwerdeführer beantragten Präzisie- rungen des Auslieferungsentscheids (siehe dessen Beschwerdebegehren Ziff. 4.1–4.3) besteht demnach keine Notwendigkeit.</w:t>
      </w:r>
    </w:p>
    <w:p>
      <w:r>
        <w:rPr>
          <w:b/>
        </w:rPr>
        <w:t>E. 7.5</w:t>
      </w:r>
    </w:p>
    <w:p>
      <w:r>
        <w:t>Soweit der Beschwerdeführer vorliegend den Grundsatz ne bis in idem als Auslieferungshindernis anruft, nachdem der mutmassliche Mittäter D. in Ita- lien bereits wegen illegalen Besitzes derselben Waffe verurteilt worden sei (siehe act. 1, Rz. 38 ff.), genügt an dieser Stelle die Feststellung, dass das Verbot der Doppelbestrafung nebst anderem voraussetzt, dass sich das zweite Verfahren gegen dieselbe beschuldigte Person richtet bzw. richten würde (sog. Täteridentität; siehe u.a. das Urteil des Bundesgerichts 6B_1053/2017 vom 17. Mai 2018 E. 4.1 m.w.H.). Das ist hier offensichtlich nicht der Fall. Damit erübrigt sich auch der in diesem Zusammenhang beantragte Beizug von italienischen Strafverfahrensakten betreffend den Beschwerdeführer oder D. (act. 1, Rz. 11 oder 42). Diesbezügliche Rügen, der nicht erfolgte Aktenbeizug verletze den Anspruch des Beschwerdefüh- rers auf rechtliches Gehör (act. 1, Rz. 35 ff.), erweisen sich als unbegründet.</w:t>
      </w:r>
    </w:p>
    <w:p>
      <w:r>
        <w:t>- 15 -</w:t>
      </w:r>
    </w:p>
    <w:p>
      <w:r>
        <w:rPr>
          <w:b/>
        </w:rPr>
        <w:t>E. 8</w:t>
      </w:r>
    </w:p>
    <w:p>
      <w:r>
        <w:t>Da der dem Beschwerdeführer zum Vorwurf gemachte Waffenbesitz dem Auslieferungsersuchen zufolge im August 2022 in X./Italien erfolgt sei, blei- ben die Ausführungen des Beschwerdeführers zum Handlungsort und der daraus abgeleiteten schweizerischen Gerichtsbarkeit über weite Strecken nicht nachvollziehbar (siehe act. 1, Rz. 64 f.). Daran ändert auch der Um- stand nichts, dass die Waffe zuvor allenfalls von der Schweiz aus illegal nach Italien eingeführt wurde. Der in diesem Zusammenhang angerufene Art. 7 Abs. 1 EAUe steht einer Auslieferung des Beschwerdeführers nicht entge- gen.</w:t>
      </w:r>
    </w:p>
    <w:p>
      <w:r>
        <w:rPr>
          <w:b/>
        </w:rPr>
        <w:t>E. 9</w:t>
      </w:r>
    </w:p>
    <w:p>
      <w:r>
        <w:t>Auszuliefern ist wegen Handlungen, die sowohl nach dem Recht des ersu- chenden als auch nach demjenigen des ersuchten Staates mit einer Frei- heitsstrafe (oder die Freiheit beschränkenden sichernden Massnahme) im Höchstmass von mindestens einem Jahr oder mit einer schwereren Strafe bedroht sind (Art. 2 Abs. 1 erster Satz EAUe; vgl. auch Art. 35 Abs. 1 IRSG). Gemäss Art. 2 Abs. 1 des EU-Auslieferungsübereinkommens genügt nach dem Recht des ersuchten Staates bereits ein Höchstmass an Strafandro- hung von mindestens sechs Monaten. Wie oben erwähnt lässt sich der Tat- vorwurf gegenüber dem Beschwerdeführer prima facie unter den Tatbestand des Art. 33 Abs. 1 lit. a WG subsumieren (siehe E. 7.4). Nach schweizeri- schem Recht ist diese Tat mit Freiheitsstrafe bis zu drei Jahren oder Geld- strafe bedroht. Dem Auslieferungsersuchen zufolge beträgt die angedrohte Freiheitsstrafe nach italienischem Recht drei bis zehn Jahre. Damit ist die Schweiz gemäss Art. 1 i.V.m. Art. 2 Abs. 1 EAUe und Art. 2 Abs. 1 des EU- Auslieferungsübereinkommens aufgrund der Strafhöhe zur Auslieferung verpflichtet und kann die Auslieferung nicht unter Berufung auf den Grund- satz der Verhältnismässigkeit ablehnen (Urteile des Bundesgerichts 1A.131/2006 vom 5. September 2006 E. 3.3; 1A.58/2006 vom 12. April 2006 E. 7; 1A.247/2004 vom 25. November 2004 E. 2.2; TPF 2011 89 E. 3.1; siehe zuletzt u.a. auch den Entscheid des Bundesstrafgerichts RR.2021.298 vom</w:t>
      </w:r>
    </w:p>
    <w:p>
      <w:r>
        <w:rPr>
          <w:b/>
        </w:rPr>
        <w:t>E. 11</w:t>
      </w:r>
    </w:p>
    <w:p>
      <w:r>
        <w:t>Gemäss Art. 14 EAUe ist Italien verpflichtet, den Grundsatz der Spezialität einzuhalten. Die Bestimmung entfaltet in Italien als Unterzeichnerstaat dieses Übereinkommens direkte Wirkung. Nach dem im Rechtshilfeverkehr geltenden Vertrauensgrundsatz wird das völkerrechtskonforme Verhalten von Staaten, die – wie Italien – mit der Schweiz durch einen Rechtshilfever- trag verbunden sind, vermutet (vgl. das Urteil des Bundesgerichts 1C_408/2007 vom 21. Dezember 2007 E. 2.2). Konkrete Anhaltspunkte dafür, dass Italien das in Art. 14 EAUe verankerte Spezialitätsprinzip verlet- zen könnte, sind nicht ersichtlich. Es besteht deshalb auch keine Notwendig- keit diesbezüglich die vom Beschwerdeführer beantragten Garantien einzu- holen (siehe act. 1, Rz. 86 ff.) oder diesem freies Geleit zusichern zu lassen (act. 1, Rz. 90). Nach dem zuvor schon Ausgeführten (siehe E. 10.4) ergibt sich auch keine Notwendigkeit der Zusicherung des freien Geleits mit Blick auf die vom Beschwerdeführer als Gefahr benannte Weiterlieferung an die Türkei (ebenfalls act. 1, Rz. 90).</w:t>
      </w:r>
    </w:p>
    <w:p>
      <w:r>
        <w:rPr>
          <w:b/>
        </w:rPr>
        <w:t>E. 12</w:t>
      </w:r>
    </w:p>
    <w:p>
      <w:r>
        <w:t>Nach dem Gesagten erweist sich die Beschwerde in all ihren Punkten als unbegründet. Andere Auslieferungshindernisse sind nicht erkennbar. Damit besteht auch kein Raum für die vom Beschwerdeführer vorbehaltenen Entschädigungs- und Genugtuungsansprüche (siehe act. 1, Rz. 82 ff.). Die Beschwerde ist abzuweisen.</w:t>
      </w:r>
    </w:p>
    <w:p>
      <w:r>
        <w:rPr>
          <w:b/>
        </w:rPr>
        <w:t>E. 13</w:t>
      </w:r>
    </w:p>
    <w:p>
      <w:r>
        <w:t>Dem Verfahrensausgang entsprechend sind die Gerichtskosten dem unter- liegenden Beschwerdeführer aufzuerlegen (Art. 63 Abs. 1 VwVG). Die Gerichtsgebühr ist auf Fr. 3‘000.– festzusetzen (vgl. Art. 63 Abs. 5 VwVG i.V.m. Art. 73 StBOG sowie Art. 5 und 8 Abs. 3 lit. a des Reglements des Bundesstrafgerichts vom 31. August 2020 über die Kosten, Gebühren und Entschädigungen in Bundesstrafverfahren [BStKR; SR 173.713.162]), unter Anrechnung des geleisteten Kostenvorschusses in gleicher Höhe (act. 3 und 6).</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