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RR.2024.103 vom 16. Oktober 2025</w:t>
      </w:r>
    </w:p>
    <w:p>
      <w:r>
        <w:t>Bundesstrafgericht, 2025-10-16, DE</w:t>
      </w:r>
    </w:p>
    <w:p>
      <w:r>
        <w:rPr>
          <w:b/>
        </w:rPr>
        <w:t xml:space="preserve">Quelle: </w:t>
      </w:r>
      <w:r>
        <w:t>https://mcp.opencaselaw.ch/entscheid/bstger_RR.2024.103</w:t>
      </w:r>
    </w:p>
    <w:p>
      <w:r>
        <w:t>FR: TPF RR.2024.103 du 16 octobre 2025</w:t>
      </w:r>
    </w:p>
    <w:p>
      <w:r>
        <w:t>IT: TPF RR.2024.103 del 16 ottobre 2025</w:t>
      </w:r>
    </w:p>
    <w:p>
      <w:pPr>
        <w:pStyle w:val="Heading2"/>
      </w:pPr>
      <w:r>
        <w:t>Regeste</w:t>
      </w:r>
    </w:p>
    <w:p>
      <w:r>
        <w:t>Internationale Rechtshilfe in Strafsachen an Deutschland; Einvernahme per Videokonferenz (Art. 9 ZPII EUeR; Art. 65a und Art. 80e Abs. 2 lit. b IRSG); aufschiebende Wirkung (Art. 80l IRSG)</w:t>
      </w:r>
    </w:p>
    <w:p>
      <w:pPr>
        <w:pStyle w:val="Heading2"/>
      </w:pPr>
      <w:r>
        <w:t>Erwägungen</w:t>
      </w:r>
    </w:p>
    <w:p>
      <w:r>
        <w:rPr>
          <w:b/>
        </w:rPr>
        <w:t>E. 1</w:t>
      </w:r>
    </w:p>
    <w:p>
      <w:r>
        <w:t>Auf Beschwerdeverfahren in internationalen Rechtshilfeangelegenheiten sind die Bestimmungen des Bundesgesetzes vom 20. Dezember 1968 über das Verwaltungsverfahren (Verwaltungsverfahrensgesetz, VwVG; SR 172.021) anwendbar (Art. 39 Abs. 2 lit. b i.V.m. Art. 37 Abs. 2 lit. a Ziff. 1 StBOG), wenn das IRSG nichts anderes bestimmt (vgl. Art. 12 Abs. 1 IRSG).</w:t>
      </w:r>
    </w:p>
    <w:p>
      <w:r>
        <w:rPr>
          <w:b/>
        </w:rPr>
        <w:t>E. 2.1</w:t>
      </w:r>
    </w:p>
    <w:p>
      <w:r>
        <w:t>Gemäss Art. 58 Abs. 1 VwVG kann die Vorinstanz bis zu ihrer Vernehmlas- sung die angefochtene Verfügung in Wiedererwägung ziehen. Sie eröffnet die neue Verfügung ohne Verzug den Parteien und bringt sie der Beschwer- deinstanz zur Kenntnis (Art. 58 Abs. 2 VwVG). Die Beschwerdeinstanz setzt die Behandlung der Beschwerde fort, soweit diese durch die neue Verfügung der Vorinstanz nicht gegenstandslos geworden ist (Art. 58 Abs. 3 VwVG).</w:t>
      </w:r>
    </w:p>
    <w:p>
      <w:r>
        <w:rPr>
          <w:b/>
        </w:rPr>
        <w:t>E. 2.2</w:t>
      </w:r>
    </w:p>
    <w:p>
      <w:r>
        <w:t>Vorliegend sind sich alle Verfahrensbeteiligten einig, dass die Beschwerde gegenstandslos geworden ist. Unter diesen Umständen besteht für die Be- schwerdekammer kein Anlass, weiter auf die Gegenstandslosigkeit der Be- schwerde einzugehen. Das Beschwerdeverfahren und das Nebenverfahren betreffend aufschiebende Wirkung sind als gegenstandslos abzuschreiben</w:t>
      </w:r>
    </w:p>
    <w:p>
      <w:r>
        <w:t>- 7 -</w:t>
      </w:r>
    </w:p>
    <w:p>
      <w:r>
        <w:t>(vgl. BGE 137 I 161 E. 4.3.2 mit Hinweisen; Entscheid des Bundesstrafge- richts RR.2020.252 vom 22. Juni 2021 E. 4.1).</w:t>
      </w:r>
    </w:p>
    <w:p>
      <w:r>
        <w:rPr>
          <w:b/>
        </w:rPr>
        <w:t>E. 3</w:t>
      </w:r>
    </w:p>
    <w:p>
      <w:r>
        <w:t>Nach konstanter Praxis gelangt im Beschwerdeverfahren in internationalen Rechtshilfeangelegenheiten für den Entscheid über die Kosten- und Ent- schädigungsfolgen bei Gegenstandslosigkeit Art. 72 des Bundesgesetzes vom 4. Dezember 1947 über den Bundeszivilprozess (BZP; SR 273) sinnge- mäss zur Anwendung (TPF 2011 118 E. 2.2.2; vgl. zuletzt u.a. Entscheide des Bundesstrafgerichts RR.2024.29 vom 28. Januar 2025 E. 3.1; RR.2023.171 vom 9. Oktober 2024 E. 3.1). Gemäss Art. 72 BZP entscheidet das Gericht mit summarischer Begründung über die Prozesskosten aufgrund der Sachlage vor Eintritt des Erledigungsgrundes. Es ist in erster Linie auf den mutmasslichen Ausgang des Prozesses abzustellen. Dabei geht es nicht darum, die Prozessaussichten im Einzelnen zu prüfen und dadurch wei- tere Umtriebe zu verursachen. Vielmehr soll es bei einer knappen, summa- rischen Beurteilung der Aktenlage sein Bewenden haben. Auf dem Weg über den Kostenentscheid soll nicht ein materielles Urteil gefällt werden (BGE 142 V 551 E. 8.2).</w:t>
      </w:r>
    </w:p>
    <w:p>
      <w:r>
        <w:rPr>
          <w:b/>
        </w:rPr>
        <w:t>E. 4.1</w:t>
      </w:r>
    </w:p>
    <w:p>
      <w:r>
        <w:t>Zur Beschwerde ist berechtigt, wer persönlich und direkt von einer Rechts- hilfemassnahme betroffen ist und ein schutzwürdiges Interesse an deren Aufhebung oder Änderung hat (Art. 80h lit. b IRSG).</w:t>
      </w:r>
    </w:p>
    <w:p>
      <w:r>
        <w:t>Zeugen können eine rechtshilfeweise Herausgabe von Befragungsprotokol- len anfechten, soweit ihre eigenen Aussagen auch sie selbst betreffen oder soweit sie sich auf ein Zeugnisverweigerungsrecht berufen können (BGE 126 II 258 E. 2d/bb; 122 II 130 E. 2b; 121 II 459 E. 2c). Demgegenüber kommt einem Dritten, selbst wenn er durch die protokollierten Aussagen per- sönlich berührt wird, keine Beschwerdebefugnis zu (BGE 124 II 180 E. 2b). Dies gilt auch für Gesellschaften, über deren Geschäftsaktivitäten und Orga- nisation die Zeugenaussagen erfolgen (BGE 121 II 459 E. 2c). Daher ist eine juristische Person grundsätzlich nicht befugt, gegen die Herausgabe eines Einvernahmeprotokolls Beschwerde zu führen, in dem ihr Verwaltungsrats- präsident sowie eine Angestellte als Zeugen befragt wurden (Urteil des Bun- desgerichts 1A.282/2003 vom 18. November 2004 E. 1.3.1; teilweise abwei- chend, allerdings ohne Begründung, Urteil des Bundesgerichts 1A.215/2005 vom 4. Januar 2006 E. 1.3; zum Ganzen BGE 137 IV 134 E. 5.2.4; TPF 2020 180 E. 2.2 m.w.H.).</w:t>
      </w:r>
    </w:p>
    <w:p>
      <w:r>
        <w:t>- 8 -</w:t>
      </w:r>
    </w:p>
    <w:p>
      <w:r>
        <w:rPr>
          <w:b/>
        </w:rPr>
        <w:t>E. 4.2</w:t>
      </w:r>
    </w:p>
    <w:p>
      <w:r>
        <w:t>Vorliegend war der genaue Inhalt der noch nicht durchgeführten Einver- nahme per Videokonferenz naturgemäss nicht bekannt. Indes legte der Be- schwerdeführer nicht dar, dass Anhaltspunkte dafür bestanden, dass im Rahmen der Einvernahme per Videokonferenz Aussagen des Beschwerde- führers zu erwarten gewesen wären, die ihn selbst betroffen hätten, oder dass er sich auf ein Zeugnisverweigerungsrecht hätte berufen können. Sol- ches ist auch nicht ersichtlich. Der Beschwerdeführer schien primär vielmehr zu befürchten, dass er von ihm zu schützende Geschäftsgeheimnisse seiner Arbeitgeberin hätte preisgeben müssen (act. 1 S. 6 ff.). Solche Aussagen hätten ihm aber keine Beschwerdelegitimation verliehen. Die Beschwerdele- gitimation wäre somit mutmasslich zu verneinen und auf die Beschwerde nicht einzutreten gewesen (vgl. auch Entscheide des Bundesstrafgerichts RR.2014.163 vom 24. Juli 2014 E. 1.5 [Beschwerdelegitimation nur bejaht, weil Gegenstand der ersuchten Einvernahme per Videokonferenz Informati- onen von Konten sein sollten, deren Inhaber der Beschwerdeführer war]; RR.2017.75 vom 12. Juli 2017 E. 1.5 [Frage der Beschwerdelegitimation of- fengelassen]).</w:t>
      </w:r>
    </w:p>
    <w:p>
      <w:r>
        <w:rPr>
          <w:b/>
        </w:rPr>
        <w:t>E. 5</w:t>
      </w:r>
    </w:p>
    <w:p>
      <w:r>
        <w:t>Angesichts des mutmasslichen Verfahrensausgangs rechtfertigt es sich, dem Beschwerdeführer in analoger Anwendung von Art. 72 BZP die Kosten des gegenstandslos gewordenen Beschwerdeverfahrens aufzuerlegen (vgl. Art. 63 Abs. 1 VwVG). Die Gerichtsgebühr ist auf Fr. 500.– festzusetzen (vgl. Art. 63 Abs. 5 VwVG i.V.m. Art. 73 StBOG und Art. 5 und 8 Abs. 3 lit. a BStKR), unter Anrechnung des entsprechenden Betrags an den geleisteten Kostenvorschuss von Fr. 4'000.–. Die Bundesstrafgerichtskasse ist anzuwei- sen, dem Beschwerdeführer Fr. 3'500.– zurückzuerstatten.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