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RR.2023.97 vom 17. Januar 2024</w:t>
      </w:r>
    </w:p>
    <w:p>
      <w:r>
        <w:t>Bundesstrafgericht, 2024-01-17, FR</w:t>
      </w:r>
    </w:p>
    <w:p>
      <w:r>
        <w:rPr>
          <w:b/>
        </w:rPr>
        <w:t xml:space="preserve">Quelle: </w:t>
      </w:r>
      <w:r>
        <w:t>https://mcp.opencaselaw.ch/entscheid/bstger_RR.2023.97</w:t>
      </w:r>
    </w:p>
    <w:p>
      <w:r>
        <w:t>FR: TPF RR.2023.97 du 17 janvier 2024</w:t>
      </w:r>
    </w:p>
    <w:p>
      <w:r>
        <w:t>IT: TPF RR.2023.97 del 17 gennaio 2024</w:t>
      </w:r>
    </w:p>
    <w:p>
      <w:pPr>
        <w:pStyle w:val="Heading2"/>
      </w:pPr>
      <w:r>
        <w:t>Regeste</w:t>
      </w:r>
    </w:p>
    <w:p>
      <w:r>
        <w:t>Entraide judiciaire internationale en matière pénale à la Belgique; remise de moyens de preuve (art. 74 EIMP); assistance judiciaire (art. 65 PA)</w:t>
      </w:r>
    </w:p>
    <w:p>
      <w:pPr>
        <w:pStyle w:val="Heading2"/>
      </w:pPr>
      <w:r>
        <w:t>Erwägungen</w:t>
      </w:r>
    </w:p>
    <w:p>
      <w:r>
        <w:rPr>
          <w:b/>
        </w:rPr>
        <w:t>E. 1.1</w:t>
      </w:r>
    </w:p>
    <w:p>
      <w:r>
        <w:t>Dans la procédure de recours, la langue du prononcé attaqué est en principe déterminante (v. art. 33a al. 2 de la loi fédérale sur la procédure administrative du 20 décembre 1968 [PA; RS 172.021]). En l’espèce, il n’y a pas lieu de déroger à cette règle, raison pour laquelle, même si le recours a été légitimement introduit en allemand, le présent arrêt est rédigé en français (v. arrêts du Tribunal pénal fédéral RR.2021.262-264 du 24 octobre 2022 consid. 1; RR.2014.146-147 du 13 janvier 2015 consid. 3.1 et 3.2; RR.2013.13 du 2 octobre 2013 consid. 3 et références citées).</w:t>
      </w:r>
    </w:p>
    <w:p>
      <w:r>
        <w:rPr>
          <w:b/>
        </w:rPr>
        <w:t>E. 1.2</w:t>
      </w:r>
    </w:p>
    <w:p>
      <w:r>
        <w:t>L’entraide judiciaire entre la Belgique et la Confédération suisse est prioritairement régie par la Convention européenne d’entraide judiciaire en matière pénale du 20 avril 1959 (CEEJ; RS 0.351.1), entrée en vigueur pour la Suisse le 20 mars 1967 et pour la Belgique le 11 novembre 1975, et par son Deuxième protocole additionnel (RS 0.351.12), entré en vigueur pour la Suisse le 1er février 2005 et pour la Belgique le 1er juillet 2009. S’appliquent aussi à l’entraide pénale entre ces deux États, les art. 48 ss de la Convention d’application de l’Accord de Schengen du 14 juin 1985 (CAAS; n° CELEX 42000A0922[02]; Journal officiel de l’Union européenne L 239 du 22 septembre 2000, p. 19-62 [texte disponible sur le site de la Confédération suisse sous la rubrique « Recueil de textes juridiques sur les accords sectoriels avec l’UE », onglet «8.1. Annexe A » in https://www.fedlex.ad min.ch/fr/sector-specific-agreements/EU-acts-register/8/8.1]; v. TPF 2009 111 consid. 1.2). Peut également s’appliquer, en l’espèce, la Convention du Conseil de l’Europe du 8 novembre 1990 relative au blanchiment, au dépistage, à la saisie et à la confiscation des produits du crime (CBl; RS</w:t>
      </w:r>
    </w:p>
    <w:p>
      <w:r>
        <w:t>- 5 -</w:t>
      </w:r>
    </w:p>
    <w:p>
      <w:r>
        <w:t>0.311.53), en vigueur pour la Suisse depuis le 11 septembre 1993 et pour la Belgique dès le 1er mai 1998.</w:t>
      </w:r>
    </w:p>
    <w:p>
      <w:r>
        <w:t>Les dispositions des traités précités l’emportent sur le droit interne régissant la matière, soit l’EIMP et son ordonnance d’exécution du 24 février 1982 (OEIMP; RS 351.11). Le droit interne reste toutefois applicable aux questions non réglées explicitement ou implicitement, par les dispositions conventionnelles (art. 1 al. 1 EIMP) ou lorsqu’il est plus favorable à l’entraide (principe « de faveur »; v. ATF 147 II 432 consid. 3; 142 IV 250 consid. 3; 140 IV 123 consid. 2; 137 IV 33 consid. 2.2.2; 136 IV 82 consid. 3.1), ce qui est valable aussi dans le rapport entre les normes internationales (v. art. 48 ch. 2 CAAS). L’application de la norme la plus favorable doit avoir lieu dans le respect des droits fondamentaux (ATF 145 IV 294 consid. 2.1; 135 IV 212 consid. 2.3; 123 Il 595 consid. 7c; v. arrêt du Tribunal fédéral 1C_196/2021 consid. 3.4 non publié in ATF 147 II 432). Les dispositions de la PA sont en outre applicables à la présente procédure de recours (art. 12 al. 1 EIMP en lien avec l’art. 39 al. 2 let. b de la loi fédérale sur l’organisation des autorités pénales de la Confédération du 19 mars 2010 [LOAP; RS 173.71]).</w:t>
      </w:r>
    </w:p>
    <w:p>
      <w:r>
        <w:rPr>
          <w:b/>
        </w:rPr>
        <w:t>E. 1.3</w:t>
      </w:r>
    </w:p>
    <w:p>
      <w:r>
        <w:t>La Cour des plaintes du Tribunal pénal fédéral est compétente pour connaître des recours dirigés contre les décisions de l’autorité cantonale ou fédérale d’exécution relatives à la clôture de la procédure d’entraide et, conjointement, les décisions incidentes (art. 37 al. 2 let. a ch. 1 LOAP mis en relation avec les art. 25 al. 1 et 80e al. 1 EIMP). Elle n’est pas liée par les conclusions des parties (art. 25 al. 6 EIMP; GLESS/SCHAFFNER, Basler Kommentar, 2015, n° 43 ad art. 25 EIMP) et statue avec une cognition pleine sur les griefs soulevés (arrêt du Tribunal pénal fédéral RR.2021.294 du 23 juin 2022 consid. 1.2 et références citées).</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ainsi reconnue à la personne physique ou morale directement touchée par l’acte d’entraide. Précisant cette disposition, l’art. 9a let. a OIEMP reconnaît au titulaire d’un compte bancaire la qualité pour recourir contre la remise à l’État requérant d’informations relatives à ce compte (v. ATF 137 IV 134 consid. 5; 130 II 162 consid. 1.1; 118 lb 547 consid. 1d). En l’espèce, la recourante, titulaire de la relation bancaire visée par la décision de clôture, a la qualité pour recourir.</w:t>
      </w:r>
    </w:p>
    <w:p>
      <w:r>
        <w:rPr>
          <w:b/>
        </w:rPr>
        <w:t>E. 1.5</w:t>
      </w:r>
    </w:p>
    <w:p>
      <w:r>
        <w:t>Le délai de recours contre la décision de clôture est de 30 jours dès la communication écrite de celle-ci (art. 80k EIMP). Interjeté le 11 juillet 2023 (cachet postal) contre une décision de clôture partielle du 28 juin précédent,</w:t>
      </w:r>
    </w:p>
    <w:p>
      <w:r>
        <w:t>- 6 -</w:t>
      </w:r>
    </w:p>
    <w:p>
      <w:r>
        <w:t>le recours a été déposé en temps utile.</w:t>
      </w:r>
    </w:p>
    <w:p>
      <w:r>
        <w:rPr>
          <w:b/>
        </w:rPr>
        <w:t>E. 1.6</w:t>
      </w:r>
    </w:p>
    <w:p>
      <w:r>
        <w:t>Le recours est ainsi recevable et il y a lieu d’entrer en matière sur le fond.</w:t>
      </w:r>
    </w:p>
    <w:p>
      <w:r>
        <w:rPr>
          <w:b/>
        </w:rPr>
        <w:t>E. 2</w:t>
      </w:r>
    </w:p>
    <w:p>
      <w:r>
        <w:t>Dans un premier moyen, qu’il convient de traiter en premier lieu compte tenu de sa nature formelle, la recourante fait grief au MP-VD d’avoir violé son droit d’être entendue. Elle reproche aux autorités vaudoises de ne lui avoir donné aucun accès au dossier de la cause et, en particulier, à la commission rogatoire des autorités belges.</w:t>
      </w:r>
    </w:p>
    <w:p>
      <w:r>
        <w:rPr>
          <w:b/>
        </w:rPr>
        <w:t>E. 2.1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[CEDH; RS 0.101] en vigueur pour la Suisse depuis le 28 novembre 1974).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146 IV 218 consid. 3.1.1; 145 I 73 consid. 7.2.2.1; 142 III 48 consid. 4.1.1; 141 V 557 consid. 3.1). Parmi les diverses concrétisations du droit d’être entendu, celui de consulter le dossier de la cause (ATF 126 I 7 consid. 2b et références citées). En matière d’entraide judiciaire, ce droit est mis en œuvre, entre autres, par l’art. 80b EIMP et par les art. 26 et 27 PA. Ces dispositions permettent à l’ayant droit de consulter le dossier de la procédure, à moins que certains intérêts s’y opposent (art. 80b al. 2 EIMP; ATF 127 II 104 consid. 3a; arrêt du Tribunal fédéral 1C_785/2021 du 4 janvier 2022 consid. 2; arrêt du Tribunal pénal fédéral RR.2019.172+173 du 28 janvier 2020 consid. 2.1.1.1).</w:t>
      </w:r>
    </w:p>
    <w:p>
      <w:r>
        <w:rPr>
          <w:b/>
        </w:rPr>
        <w:t>E. 2.2</w:t>
      </w:r>
    </w:p>
    <w:p>
      <w:r>
        <w:t>In casu, le grief est infondé. Contrairement à ce que semble retenir la recourante, il ressort du dossier de la cause que l’avis de prochaine clôture qui lui a été adressé par les autorités vaudoises le 23 mai 2023 était accompagné d’une « Déclaration » qui mentionne expressément que « [l]e dossier peut être consulté au Ministère public central du canton de Vaud dans le délai imparti. Cette consultation n’est pas obligatoire […] » (act. 8.1, pièce « P. 12 »). La recourante, qui a pris connaissance de la pièce susdite puisqu’elle l’a signée et renvoyée au MP-VD le 1er juin 2023 (act. 8.1, pièce « P. 16 »), a donc eu la possibilité de consulter le dossier de la cause sans qu’elle ait jugé utile ou opportun de le faire. Cela scelle le sort de ce grief.</w:t>
      </w:r>
    </w:p>
    <w:p>
      <w:r>
        <w:t>- 7 -</w:t>
      </w:r>
    </w:p>
    <w:p>
      <w:r>
        <w:rPr>
          <w:b/>
        </w:rPr>
        <w:t>E. 3</w:t>
      </w:r>
    </w:p>
    <w:p>
      <w:r>
        <w:t>Dans un second moyen, la recourante considère que la transmission à l’autorité requérante des pièces bancaires la concernant n’est pas utile puisque les paiements reçus sont déjà attestés par les justificatifs bancaires du payeur et les protocoles SEPA/Swift correspondants. La transmission envisagée, qui concerne potentiellement des données de tiers, s’avérerait ainsi excessive et contraire au principe de proportionnalité (act. 1, p. 2 s.).</w:t>
      </w:r>
    </w:p>
    <w:p>
      <w:r>
        <w:rPr>
          <w:b/>
        </w:rPr>
        <w:t>E. 3.1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l’État requérant (ATF 136 IV 82 consid. 4.1; arrêts du Tribunal fédéral 1C_582/2015 du 10 novembre 2015 consid. 1.4; 1A.248/2006 du 1er février 2007 consid. 3.1). Le principe de la proportionnalité interdit à l’autorité suisse d’aller au-delà des requêtes qui lui sont adressées et d’accorder à l’État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ainsi d’éviter d’éventuelles demandes complémentaires (ATF 136 IV 82 consid. 4.1; 121 II 241 consid. 3a; arrêt du Tribunal fédéral 1C_322/2023 du 4 juillet 2023 consid. 1.2; arrêt du Tribunal pénal fédéral RR.2009.286-287 du 10 février 2010 consid. 4.1). Sur cette base, peuvent aussi être transmis des renseignements et des documents qui ne sont pas mentionnés dans la demande d’assistance judiciaire (TPF 2009 161 consid. 5.2; arrêts du Tribunal pénal fédéral RR.2018.32-37 du 23 août 2018 consid. 4.1; RR.2010.39 du 28 avril 2010 consid. 5.1).</w:t>
      </w:r>
    </w:p>
    <w:p>
      <w:r>
        <w:rPr>
          <w:b/>
        </w:rPr>
        <w:t>E. 3.2</w:t>
      </w:r>
    </w:p>
    <w:p>
      <w:r>
        <w:t>L’examen de l’autorité d’entraide est régi par le principe de l’« utilité potentielle » qui joue un rôle crucial dans l’application du principe de la proportionnalité en matière d’entraide pénale internationale (ATF 142 II 161 consid. 2.1.2; 122 II 367 consid. 2c et les références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du 21 mars 2002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w:t>
      </w:r>
    </w:p>
    <w:p>
      <w:r>
        <w:t>- 8 -</w:t>
      </w:r>
    </w:p>
    <w:p>
      <w:r>
        <w:t>recueillir des preuves à charge, mais également à décharge (ATF 118 lb 547 consid. 3a; arrêt du Tribunal fédéral 1A.88/2006 du 22 juin 2006 consid. 5.3; arrêts du Tribunal pénal fédéral RR.2013.231 du 23 octobre 2013 consid. 4.1 et références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l’État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l’État requérant (arrêt du Tribunal pénal fédéral RR.2019.172+173 du 28 janvier 2020 consid. 3.1 et références citées; ZIMMERMANN, La coopération judiciaire internationale en matière pénale, 5e éd. 2019, n° 723, p. 798 ss).</w:t>
      </w:r>
    </w:p>
    <w:p>
      <w:r>
        <w:rPr>
          <w:b/>
        </w:rPr>
        <w:t>E. 3.3</w:t>
      </w:r>
    </w:p>
    <w:p>
      <w:r>
        <w:t>Lorsqu’il s’agit de demandes relatives à des informations financières ou bancaires, il convient en principe de transmettre tous les documents et informations qui peuvent faire référence au soupçon exposé dans la demande d’entraide. Il doit toutefois exister un lien de connexité suffisant entre l’état de fait objet de l’enquête pénale menée par les autorités de l’État requérant et les documents visés par la remise (ATF 129 Il 461 consid. 5.3; arrêts du Tribunal fédéral 1A.189/2006 du 7 février 2007 consid. 3.1; 1A.72/2006 du 13 juillet 2006 consid. 3.1).</w:t>
      </w:r>
    </w:p>
    <w:p>
      <w:r>
        <w:rPr>
          <w:b/>
        </w:rPr>
        <w:t>E. 3.4</w:t>
      </w:r>
    </w:p>
    <w:p>
      <w:r>
        <w:t>In casu, les autorités belges enquêtent sur des faits qui, sous l’angle du droit pénal helvétique, peuvent être qualifiés prima facie d’abus de confiance (art. 138 CP), escroquerie (art. 146 CP), gestion déloyale (art. 158 CP) et blanchiment d’argent (art. 305bis CP). Dites autorités requièrent expressément la transmission de la documentation ayant trait à, notamment, la relation bancaire référencée n° 1 qui correspond, d’après les actes d’enquête menés par le MP-VD, au compte n° 2 ouvert auprès de la banque D. au nom de la recourante. Dans ces circonstances, que le MP-VD ait ordonné la transmission de certaines pièces en lien avec le compte susdit – ouvert le 9 juillet 2021 – n’est point critiquable et ne peut pas être considéré comme disproportionné. Le seul fait que le compte bancaire de la recourante ait été le destinataire d’un des versements sous enquête est déjà suffisant pour créer un lien objectif entre la documentation requise et les investigations. L’intérêt des pièces pour l’enquête étrangère ne saurait dès lors être mis en doute. En ce qui concerne la transmission des données contenues dans la documentation bancaire et qui concerneraient des tiers, la recourante perd de vue que l’autorité requérante dispose d’un intérêt à</w:t>
      </w:r>
    </w:p>
    <w:p>
      <w:r>
        <w:t>- 9 -</w:t>
      </w:r>
    </w:p>
    <w:p>
      <w:r>
        <w:t>pouvoir consulter le contenu de l’ensemble des pièces bancaires transmises, étant souligné, par surabondance, que l’autorité requise se doit de faire parvenir une documentation aussi complète que possible, l’objectif étant non seulement de permettre à l’autorité requérante de poursuivre les investigations en cours tout en ayant à sa disposition des éléments qui pourraient s’avérer pertinents tant à charge qu’à décharge, mais également d’éviter d’éventuelles demandes complémentaires (supra consid. 3.1 s.). N’en déplaise à la recourante, le grief tiré d’une atteinte au principe de proportionnalité est mal fondé et doit être rejeté.</w:t>
      </w:r>
    </w:p>
    <w:p>
      <w:r>
        <w:rPr>
          <w:b/>
        </w:rPr>
        <w:t>E. 4</w:t>
      </w:r>
    </w:p>
    <w:p>
      <w:r>
        <w:t>Au vu de l’ensemble des éléments qui précèdent, le recours doit être rejeté.</w:t>
      </w:r>
    </w:p>
    <w:p>
      <w:r>
        <w:rPr>
          <w:b/>
        </w:rPr>
        <w:t>E. 5</w:t>
      </w:r>
    </w:p>
    <w:p>
      <w:r>
        <w:t>La recourante sollicite l’octroi de l’assistance judiciaire (v. supra let. H).</w:t>
      </w:r>
    </w:p>
    <w:p>
      <w:r>
        <w:rPr>
          <w:b/>
        </w:rPr>
        <w:t>E. 5.1</w:t>
      </w:r>
    </w:p>
    <w:p>
      <w:r>
        <w:t>À teneur de l’art. 29 al. 3 Cst., toute personne qui ne dispose pas des ressources suffisantes à droit, à moins que sa cause paraisse dépourvue de toute chance de succès, à l’assistance judiciaire. Ce principe est concrétisé à l’art. 65 al. 1 PA qui retient que,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Les conclusions sont considérées comme vouées à l’échec lorsque les risques de perdre l’emportent nettement sur les chances de gagner, alors même qu’elles ne seraient pas manifestement mal fondées ou abusives (arrêts du Tribunal pénal fédéral RR.2023.87 du 25 juillet 2023 consid. 11.1; RR.2007.176 du 11 décembre 2007 consid. 3; RR.2007.31 du 21 mars 2007 consid. 3), étant précisé, de surcroît, que la jurisprudence a déjà eu l’occasion d’affirmer, à maintes reprises, qu’une partie ne doit pas pouvoir mener un procès qu’elle ne conduirait pas à ses frais uniquement parce qu’il ne lui coûte rien (ATF 142 III 138 consid. 5.1; 138 III 217 consid. 2.2.4; arrêt du Tribunal fédéral 1B_233/2021 du 1er juin 2021 consid. 3).</w:t>
      </w:r>
    </w:p>
    <w:p>
      <w:r>
        <w:rPr>
          <w:b/>
        </w:rPr>
        <w:t>E. 5.2</w:t>
      </w:r>
    </w:p>
    <w:p>
      <w:r>
        <w:t>In casu, les considérations qui précèdent se fondent sur des dispositions légales claires et sur des principes jurisprudentiels bien établis que l’argumentation développée par A. AG n’était manifestement pas propre à remettre en question. L’octroi de l’assistance judiciaire doit dès lors être refusé sans qu’il y ait lieu d’examiner si la recourante, en tant que personne morale, pouvait exceptionnellement (v. ATF 131 II 306 consid. 5.2.2; décisions incidentes du Tribunal pénal fédéral RP.2015.1-2 du 3 février 2015; RP.2013.15-17 du 28 mai 2013) être mise au bénéfice de celle-ci.</w:t>
      </w:r>
    </w:p>
    <w:p>
      <w:r>
        <w:t>- 10 -</w:t>
      </w:r>
    </w:p>
    <w:p>
      <w:r>
        <w:rPr>
          <w:b/>
        </w:rPr>
        <w:t>E. 5.3</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art. 5 et</w:t>
      </w:r>
    </w:p>
    <w:p>
      <w:r>
        <w:rPr>
          <w:b/>
        </w:rPr>
        <w:t>E. 8</w:t>
      </w:r>
    </w:p>
    <w:p>
      <w:r>
        <w:t>al. 3 let. a du règlement sur les frais, émoluments, dépens et indemnités de la procédure pénale fédérale [RFPPF; RS 173.713.162]; v. art. 63 al. 4bis PA). In casu, en tant que partie qui succombe, la recourante doit supporter les frais du présent arrêt, lesquels sont fixés à CHF 3’000.--.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