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RR.2023.93 vom 30. Januar 2024</w:t>
      </w:r>
    </w:p>
    <w:p>
      <w:r>
        <w:t>Bundesstrafgericht, 2024-01-30, FR</w:t>
      </w:r>
    </w:p>
    <w:p>
      <w:r>
        <w:rPr>
          <w:b/>
        </w:rPr>
        <w:t xml:space="preserve">Quelle: </w:t>
      </w:r>
      <w:r>
        <w:t>https://mcp.opencaselaw.ch/entscheid/bstger_RR.2023.93</w:t>
      </w:r>
    </w:p>
    <w:p>
      <w:r>
        <w:t>FR: TPF RR.2023.93 du 30 janvier 2024</w:t>
      </w:r>
    </w:p>
    <w:p>
      <w:r>
        <w:t>IT: TPF RR.2023.93 del 30 gennaio 2024</w:t>
      </w:r>
    </w:p>
    <w:p>
      <w:pPr>
        <w:pStyle w:val="Heading2"/>
      </w:pPr>
      <w:r>
        <w:t>Regeste</w:t>
      </w:r>
    </w:p>
    <w:p>
      <w:r>
        <w:t>Entraide judiciaire internationale en matière pénale à l'Ukraine; remise de moyens de preuve (art. 74 EIMP); saisie conservatoire (art. 33a OEIMP)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septembre1993 pour la Suisse et le 1er mai 1998 pour l'Ukraine ainsi que la Convention des Nations Unies contre la corruption, conclue le 31 octobre 2003, entrée en vigueur pour l’Ukraine le 1er janvier 2010 et pour la Suisse le 24 octobre 2009 (UNCAC; RS 0.311.56).</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w:t>
      </w:r>
    </w:p>
    <w:p>
      <w:r>
        <w:t>- 6 -</w:t>
      </w:r>
    </w:p>
    <w:p>
      <w:r>
        <w:t>incidentes rendues par les autorités cantonales ou fédérales d'exécution.</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w:t>
      </w:r>
    </w:p>
    <w:p>
      <w:r>
        <w:t>Formé dans les 30 jours à compter de la notification des décisions de clôture entreprises, les recours ont été déposés en temps utile (art. 80k EIMP).</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(ATF 137 IV 134 consid. 5; 130 Il 162 consid. 1.1; 118 lb 547 consid. 1d). Lorsque le recours est interjeté contre une décision de clôture visant la remise de documents bancaires et, simultanément, contre la saisie en tant que décision incidente antérieure à la clôture (art. 80e al. 1 EIMP), le recourant ne doit pas faire valoir de préjudice immédiat et irréparable (arrêts du Tribunal pénal fédéral RR.2022.164 du 19 janvier 2023 consid. 2.2 et 2.4.2; RR.2012.173 du 8 février 2013 consid. 1.3.2).</w:t>
      </w:r>
    </w:p>
    <w:p>
      <w:r>
        <w:rPr>
          <w:b/>
        </w:rPr>
        <w:t>E. 1.5.2</w:t>
      </w:r>
    </w:p>
    <w:p>
      <w:r>
        <w:t>Titulaire des relations bancaires dont le MPC ordonne la transmission de la documentation à l’Etat requérant et prononce, s’agissant des comptes de la banque B. n°1 et de la banque C. n°2, la saisie des avoirs, la société recourante dispose de la qualité pour recourir contre les décisions de clôture entreprises.</w:t>
      </w:r>
    </w:p>
    <w:p>
      <w:r>
        <w:rPr>
          <w:b/>
        </w:rPr>
        <w:t>E. 1.6</w:t>
      </w:r>
    </w:p>
    <w:p>
      <w:r>
        <w:t>Compte tenu de ce qui précède, les recours sont recevables et il y a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w:t>
      </w:r>
    </w:p>
    <w:p>
      <w:r>
        <w:t>- 7 -</w:t>
      </w:r>
    </w:p>
    <w:p>
      <w:r>
        <w:t>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(arrêts du Tribunal pénal fédéral RR.2008.190 du 26 février 2009 consid. 1; RR.2008.216+RR.2008.225-230 du 20 novembre 2008 consid. 1.2).</w:t>
      </w:r>
    </w:p>
    <w:p>
      <w:r>
        <w:rPr>
          <w:b/>
        </w:rPr>
        <w:t>E. 2.2</w:t>
      </w:r>
    </w:p>
    <w:p>
      <w:r>
        <w:t>En l'espèce, les deux recours concernant les comptes bancaires susmentionnés sont interjetés à l'encontre de décisions de clôture dont l'argumentation est très similaire et reposent sur le même complexe de faits. Les principales différences résident dans le fait que lesdites décisions concernent des relations d’affaires différentes dont la recourante est titulaire et que, contrairement aux décisions du 28 juin 2023, celles du 30 mai 2023 ordonnent, en sus de la transmission de la documentation bancaire des comptes concernés, le maintien du blocage de valeurs patrimoniales déposées sur ces derniers. Ce nonobstant, la partie recourante, représentée par le même avocat, invoque des arguments, respectivement, prend des conclusions quasi identiques, sans faire valoir d'intérêts contradictoires qui commanderaient un prononcé séparé. Enfin, tant le MPC que la recourante requiert, respectivement, ne s’oppose pas à la jonction des causes RR.2023.93 et RR.2023.117 (v. RR.2023.93, act. 15; RR.2023.117, act. 7 et 10).</w:t>
      </w:r>
    </w:p>
    <w:p>
      <w:r>
        <w:rPr>
          <w:b/>
        </w:rPr>
        <w:t>E. 2.3</w:t>
      </w:r>
    </w:p>
    <w:p>
      <w:r>
        <w:t>Il se justifie par conséquent de joindre les causes RR.2023.93 et RR.2023.117.</w:t>
      </w:r>
    </w:p>
    <w:p>
      <w:r>
        <w:rPr>
          <w:b/>
        </w:rPr>
        <w:t>E. 3</w:t>
      </w:r>
    </w:p>
    <w:p>
      <w:r>
        <w:t>Dans son argumentation, la recourante semble alléguer une violation de l’art. 2 EIMP, au vu du « contexte particulier du conflit armé entre l’Ukraine et la fédération de Russie » dans le cadre duquel la demande d’entraide a été formulée. Elle fait en particulier valoir que l’Ukraine ne serait ainsi pas en mesure de respecter les garanties procédurales prévues notamment à l’art. 6 de la Convention de sauvegarde des droits de l’homme et des libertés fondamentales, du 4 novembre 1950 (CEDH; RS 0.101; RR.2023.93, act. 1, p. 15 s.; RR.2023.117, p. 16 s.).</w:t>
      </w:r>
    </w:p>
    <w:p>
      <w:r>
        <w:rPr>
          <w:b/>
        </w:rPr>
        <w:t>E. 3.1</w:t>
      </w:r>
    </w:p>
    <w:p>
      <w:r>
        <w:t>Aux termes de l'art. 2 let. a et d EIMP, la demande de coopération en matière pénale est irrecevable, notamment, lorsqu'il y a lieu d'admettre que la procédure à l'étranger n'est pas conforme aux principes de procédure fixés par la CEDH ou par le Pacte international relatif aux droits civils et politiques, du 16 décembre 1966 (Pacte ONU II; RS 103.2) ou quand la procédure présente d'autres défauts graves. L'art. 2 EIMP a pour but d'éviter que la Suisse ne prête son concours à des</w:t>
      </w:r>
    </w:p>
    <w:p>
      <w:r>
        <w:t>- 8 -</w:t>
      </w:r>
    </w:p>
    <w:p>
      <w:r>
        <w:t>procédures qui ne garantiraient pas à la personne poursuivie un standard de protection minimal correspondant à celui offert par le droit des Etats démocratiques ou qui heurteraient des normes reconnues comme appartenant à l'ordre public international (ATF 130 II 217 consid. 8.1; 129 II 268 consid. 6.1; 126 II 324 consid. 4a et les arrêts cités). Pour pouvoir invoquer l'art. 2 EIMP, il faut démontrer l'existence d'une menace touchant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arrêts du Tribunal pénal fédéral RR.2020.284 du 11 février 2021 consid. 3.1.1; RR.2018.202 du 21 août 2018 consid. 6). Selon une jurisprudence bien établie, seules les personnes physiques sont habilitées à invoquer l'art. 2 EIMP (ATF 130 II 217 consid. 8.2; 129 II 268 consid. 6 et les réf. citées). La Cour de céans a admis qu'une personne morale peut toutefois exceptionnellement se fonder sur l'art. 2 EIMP à la condition qu'elle soit elle-même prévenue dans la procédure étrangère et uniquement pour dénoncer une violation de son droit à un procès équitable au sens de l'art. 6 CEDH en lien avec l'art. 2 let. a EIMP (TPF 2016 138 consid. 4.2 s.; v. ég. arrêts du Tribunal fédéral 1C_347/2023 du 14 juillet 2023 consid. 2.2; 1C_338/2022 du 17 juin 2022 consid. 1.2; arrêts du Tribunal pénal fédéral RR.2022.203, RR.2022.204 du 27 juin 2023 consid. 5.2; RR.2022.229 du 12 avril 2023 consid. 3.3; RR.2021.202 du</w:t>
      </w:r>
    </w:p>
    <w:p>
      <w:r>
        <w:rPr>
          <w:b/>
        </w:rPr>
        <w:t>E. 3.2</w:t>
      </w:r>
    </w:p>
    <w:p>
      <w:r>
        <w:t>En l’espèce, il ne ressort pas du dossier de la cause que la recourante, personne morale dont le siège se trouve en Suisse, ait le statut de prévenu dans le cadre de la procédure pénale étrangère, ce qu’elle n’allègue par ailleurs aucunement. Ce qui précède suffit à sceller le sort du présent grief. Ce nonobstant, la Cour de céans tient à souligner que la situation actuelle en Ukraine ne remet pas en cause l’entraide avec ce pays et ce, nonobstant l’instauration de la loi martiale et de l’état de guerre dans lequel il se trouve (v. à ce propos, arrêts du Tribunal pénal fédéral RR.2022.203, RR.2022.204 précité consid. 9.2; RR.2022.30 du 18 mai 2022 consid. 4.2; RR.2021.300, RR.2021.301 du 17 mai 2022 consid. 6.2). Enfin, force est de constater que la société recourante n’apporte aucun élément concret permettant de considérer que cette situation particulière aurait une répercussion directe sur sa situation, respectivement, sur la procédure d’entraide en cause (v. RR.2023.93, act. 1, p. 15 s.; RR.2023.117, act. 1, p. 16). C’est le lieu de rappeler que les décisions d’autorités étrangères en matière d’entraide ne</w:t>
      </w:r>
    </w:p>
    <w:p>
      <w:r>
        <w:t>- 9 -</w:t>
      </w:r>
    </w:p>
    <w:p>
      <w:r>
        <w:t>lient pas les autorités suisses qui apprécient les demandes qui leur sont soumises sur la base de leurs propres constatations de faits et leur propre application du droit (v. not. arrêt du Tribunal pénal fédéral RH.2022.5 du 18 mai 2022). Aussi, les arrêts de la Cour d’appel de Vienne du 27 juin 2023, dont se prévaut la recourante, dans le cadre desquels les autorités autrichiennes n’ont pas accordé l’entraide à l’Ukraine en raison de la situation actuelle de ce pays (v. RR.2023.93, act. 1, p. 13 et act. 1.22a et 1.23a; RR.2023.117, act. 1, p. 13 s. et act. 27a et 28a), ne sauraient avoir une quelconque incidence sur la présente procédure d’entraide.</w:t>
      </w:r>
    </w:p>
    <w:p>
      <w:r>
        <w:rPr>
          <w:b/>
        </w:rPr>
        <w:t>E. 3.3</w:t>
      </w:r>
    </w:p>
    <w:p>
      <w:r>
        <w:t>Il s’ensuit que, mal fondé, le présent grief doit être rejeté.</w:t>
      </w:r>
    </w:p>
    <w:p>
      <w:r>
        <w:rPr>
          <w:b/>
        </w:rPr>
        <w:t>E. 4</w:t>
      </w:r>
    </w:p>
    <w:p>
      <w:r>
        <w:t>Dans un second moyen, la recourante invoque une violation de l’art. 14 CEEJ en lien avec les conditions de validité de la demande d’entraide. A l’appui de son argumentation, cette dernière soutient que les allégations formulées par l’autorité requérante seraient infondées et que cette dernière n’aurait retenu aucune charge à son encontre. Développant une argumentation sur le fond, la société recourante souligne en substance n’avoir « jamais eu le moindre lien commercial ou implication dans le secteur de l’électricité en Ukraine, que ce soit avec la société G. Sarl ou d’autres sociétés ukrainiennes » (RR.2023.93, act. 1, p. 8-11 et p. 15; RR.2023.117, p. 8-11 et p. 16).</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(ATF129 II 97 consid. 3; 118 Ib 111 consid. 5b et les arrêts cités; TPF 2015 110 consid. 5.2.1).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 cités). Dans le cadre d'une demande d'entraide, il convient effectivement de garder à l'esprit que la démarche de l'autorité étrangère vise à compléter, par les renseignements requis, les investigations en cours (ZIMMERMANN, La coopération judiciaire internationale en matière</w:t>
      </w:r>
    </w:p>
    <w:p>
      <w:r>
        <w:t>- 10 -</w:t>
      </w:r>
    </w:p>
    <w:p>
      <w:r>
        <w:t>pénale, 5e éd. 2019, n. 293, p. 309),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4.2</w:t>
      </w:r>
    </w:p>
    <w:p>
      <w:r>
        <w:t>En l’espèce, la demande d’entraide du 15 juillet 2022 et son complément du 15 septembre 2022 indiquent que l’enquête pénale ouverte en Ukraine est dirigée contre des fonctionnaires de la société nationale d’énergie F. Sarl des chefs d’appropriation, dilapidation ou dépossession de biens par abus de fonctions officielles, légalisation (blanchiment) de biens obtenus par des moyens criminels et abus de pouvoir ou de fonction au sens du Code pénal ukrainien (v. supra, let. A.) pour des faits qui se seraient déroulés entre février et avril 2022 (RR.2023.93 et RR.2023.117, act. 1.7a et 1.7b). Les articles pertinents et applicables du Code pénal ukrainien sont cités et l'extrait y relatif est produit à l'appui de la commission rogatoire. Bien que les personnes suspectes ne soient pas nommées, il est aisé de comprendre, à la lecture de l’exposé des faits contenu dans la demande d’entraide et son complément, que l’enquête est dirigée contre des fonctionnaires de la société électrique d’Etat. Les faits objet de l’investigation étrangère sont en outre décrits de manière précise (v. à ce propos infra, consid. 5.2) et l’autorité requérante a indiqué clairement les mesures qu'elle souhaite voir exécutées en Suisse et les documents bancaires qu'elle désire recevoir de l'autorité requise. Enfin, la demande d'entraide indique l’autorité dont elle émane, soit</w:t>
      </w:r>
    </w:p>
    <w:p>
      <w:r>
        <w:t>- 11 -</w:t>
      </w:r>
    </w:p>
    <w:p>
      <w:r>
        <w:t>le Bureau national anticorruption d’Ukraine (v. RR.2023.93 et RR.2023.117, act. 1.7a et 1.7b). La demande telle que présentée et son complément ont ainsi permis au MPC d’apprécier la recevabilité de la requête et d’estimer que les faits incriminés, transposés en droit suisse, pouvaient notamment être qualifiés d’abus d’autorité (art. 312 CP), gestion déloyale des intérêts publics (art. 314 CP) et de corruption d’agents publics domestiques (art. 322ter CP; v. RR.2023.93 et RR.2023.117, act. 1.1, p. 3). S’agissant du reproche formulé par la société recourante quant aux faits exposés dans la commission rogatoire, qui seraient infondés, la Cour de céans rappelle que, conformément à la jurisprudence développée supra, il n’appartient pas à l’autorité requise d’examiner si les allégations figurant dans la demande d’entraide sont fondées ou non. Concernant l’argumentation développée par la recourante en lien avec les motifs de versements reçus de la société G. Sarl et les paiements intervenus en sa faveur pour la livraison de produits pétroliers, il en va de questions relatives à une interprétation différente des faits par rapport à ceux exposés dans la demande d’entraide et/ou de l’appréciation de moyens de preuve, qui, de jurisprudence constante (v. supra, consid. 4.1), n’ont pas leur place dans le cadre de la procédure d’entraide. Enfin, le fait qu’il ressortirait de la demande que l’autorité requérante n’aurait retenu aucune charge à l’encontre de la société recourante n’est en l’espèce par pertinent, dès lors que l’octroi de l’entraide n’implique pas que la personne soumise à une mesure de contrainte dans l'Etat requis soit elle- même accusée (v. infra, consid. 5.1.4).</w:t>
      </w:r>
    </w:p>
    <w:p>
      <w:r>
        <w:rPr>
          <w:b/>
        </w:rPr>
        <w:t>E. 4.3</w:t>
      </w:r>
    </w:p>
    <w:p>
      <w:r>
        <w:t>La demande d'entraide litigieuse remplit par conséquent les exigences formelles des art. 14 CEEJ et 28 EIMP. Mal fondé, le présent grief doit, partant, être rejeté.</w:t>
      </w:r>
    </w:p>
    <w:p>
      <w:r>
        <w:t>5. Dans un troisième moyen, la recourante se plaint d’une violation du principe de la proportionnalité, dès lors que la demande d’entraide ukrainienne équivaudrait à une recherche indéterminée de moyens de preuve (RR.2023.93, act. 1, p. 15 s.; RR.2023.117, act. 1, p. 16 s.). 5.1</w:t>
      </w:r>
    </w:p>
    <w:p>
      <w:r>
        <w:t>5.1.1 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w:t>
      </w:r>
    </w:p>
    <w:p>
      <w:r>
        <w:t>- 12 -</w:t>
      </w:r>
    </w:p>
    <w:p>
      <w:r>
        <w:t>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 5.1.2 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w:t>
      </w:r>
    </w:p>
    <w:p>
      <w:r>
        <w:t>- 13 -</w:t>
      </w:r>
    </w:p>
    <w:p>
      <w:r>
        <w:t>consid. 3a; arrêt du Tribunal fédéral 1A.88/2006 du 22 juin 2006 consid. 5.3; arrêts du Tribunal pénal fédéral RR.2013.231 du 23 octobre 2013 consid. 4.1 et références citées; RR.2008.287 du 9 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 citées; ZIMMERMANN, op. cit., n. 723, p. 798-801). 5.1.3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5.1.4 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t>- 14 -</w:t>
      </w:r>
    </w:p>
    <w:p>
      <w:r>
        <w:t>5.2 En l’espèce, les autorités ukrainiennes enquêtent sur des actes qui, transposés en droit suisse, correspondent aux infractions d’abus d’autorité (art. 312 CP), gestion déloyale des intérêts publics (art. 314 CP) et corruption d’agents publics domestiques (art. 322ter CP). Il ressort en substance de la demande d’entraide que des fonctionnaires de la société F. Sarl auraient, entre février et avril 2022, vendu de l’énergie électrique en violation des règles du marché en Ukraine, aux fins de permettre à la société G. Sarl de s’enrichir illégalement. L’enquête étrangère a établi que, selon le contrat du 23 février 2022 n. 2205/ULSD/NW-UE portant sur le carburant diesel, cette dernière société aurait versé une partie du profit généré par la revente de ces lots d’électricité, soit USD 10 mio, sur le compte n°1 ouvert par A. SA auprès de la banque B. Une autre partie de ces fonds issus de la vente desdits lots d’électricité, soit environ USD 26.217 mio, a été transférée sur des comptes de la société H. puis, entre le 14 et le 20 avril 2022, sur le compte n°2 détenu par A. SA auprès de la banque C. et ce, sur la base d’un contrat du 1er avril 2022 n. 2210/RON/NW-GN. Au vu des éléments récoltés au cours de l’enquête étrangère, l’autorité requérante soupçonne ainsi que les revenus de la société G. Sarl provenant de la revente d’électricité achetée à la société F. Sarl soient sortis hors d’Ukraine sous prétexte d’opérations d’achat-vente de produits pétroliers, en particulier sur les comptes suisses de A. SA. Il est en outre soupçonné que les fonds transférés sur lesdites relations bancaires dont A. SA est titulaire puissent servir à corrompre des hauts fonctionnaires ukrainiens ainsi que des employés d’entreprises publiques et à enrichir les bénéficiaires effectifs de la société G. Sarl (v. RR.2023.93 et RR.2023.117, act. 1.7a et 1.7b). De toute évidence, indépendamment de la question du statut de la recourante dans le cadre de la procédure ukrainienne (v. supra, consid. 5.1.4), les documents bancaires requis permettent de tracer la source et l’utilisation des fonds qui sont passés sur les quatre comptes litigieux et de confirmer ou infirmer des éléments relevés par l’enquête ukrainienne, notamment quant aux soupçons s’agissant de l’origine délictueuse des sommes de USD 10 mio et d’environ 26.217 mio transférés sur les comptes de la banque B. n°1 et de la banque C. n°2. Selon les termes de l’autorité requérante, d’autres montants transférés par la société G. Sarl sur les comptes de A. SA et qui auraient comme source la revente des lots d’électricité achetés à la société F. Sarl pourraient en outre « être utilisés pour corrompre des hauts fonctionnaires ukrainiens ainsi que des employés d’entreprises publiques ainsi que dans l’intérêt des bénéficiaires effectifs de la société G. Sarl » (v. RR.2023.93 et RR.2023.117, act. 1.7a et 1.7b). A cet égard, il sied de rappeler que lorsque la demande vise à éclaircir le cheminement de fonds de nature criminelle – comme c’est le cas en l’espèce – il se justifie en principe d’informer l’Etat requérant de toutes les transactions</w:t>
      </w:r>
    </w:p>
    <w:p>
      <w:r>
        <w:t>- 15 -</w:t>
      </w:r>
    </w:p>
    <w:p>
      <w:r>
        <w:t>opérées au nom de l’entité concernée (v. supra, consid. 5.1.3). La transmission d’une documentation aussi complète que possible et comprenant également les informations relatives aux relations d’affaires liées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5.1.2). Par ailleurs, bien que l’on ne puisse exclure que les comptes bancaires litigieux n’aient pas servi à recevoir le produit des infractions poursuivies en Ukraine ou à corrompre des fonctionnaires, voire à blanchir des fonds, l’autorité requérante n’en dispose pas moins d’un intérêt à pouvoir le vérifier elle- même, sur le vu d’une documentation complète, puisque, comme développé supra, l'entraide vise non seulement à recueillir des preuves à charge mais également à décharge (v. supra, consid. 5.1.1 in fine). Force est par conséquent de retenir qu’il existe en l’espèce un lien de connexité suffisant entre les faits poursuivis par l’Etat requérant et les comptes bancaires ouverts au nom de la recourante auprès des banques B., C., D. et E. et que dès lors les documents y relatifs sont propres à faire avancer l’enquête ukrainienne. La Cour de céans relève en outre que les mesures requises concernent, d’une part, quatre comptes bancaires détenus par A. SA précisément désignés par l’autorité requérante dans sa demande d’entraide et ce, pour une période déterminée couvrant celle relative aux faits poursuivis, et, d’autre part, le blocage, à hauteur des montants sous enquête, de deux desdites relations bancaires. 5.3 Enfin, s’agissant de l’argumentation de la recourante tendant à considérer les mesures de saisies de valeurs comme injustifiées (v. RR.2023.93, act. 1, p. 15), le MPC a, à juste titre, souligné dans ses prises de position des 14 juillet et 4 septembre 2023 que la levée de séquestre prononcée en date du 2 novembre 2022 concerne une procédure d’entraide distincte, soit la procédure RH.21.0250, relevant d’un état de fait différent, pour laquelle un séquestre avait été prononcé par le MPC sans requête expresse de l’autorité requérante et en vue du prononcé d’une éventuelle créance compensatrice (v. RR.2023.93, act. 8, p. 3 s. et act. 15, p. 2). La Cour de céans constate au demeurant qu’outre le fait qu’en l’espèce l’autorité requérante a expressément demandé les blocages querellés à hauteur de montants déterminés, l’analyse de la documentation bancaire permet d’identifier des transactions correspondant aux faits exposés dans la demande d’entraide. S’agissant du compte n°1 ouvert auprès de la banque B., bien qu’il n’apparaisse pas de crédits provenant directement de la société G. Sarl, force est de constater le versement de USD 15 mio effectué le 2 mars 2022,</w:t>
      </w:r>
    </w:p>
    <w:p>
      <w:r>
        <w:t>- 16 -</w:t>
      </w:r>
    </w:p>
    <w:p>
      <w:r>
        <w:t>soit quelques jours après la conclusion du contrat du 23 février 2022 n. 2205/ULSD/NW-UE précité, provenant d’un compte ouvert en Autriche par A. SA et ayant pour référence « Account top up » (dossier MPC, pièce 004129_00041). Compte tenu de la date et du montant de cette transaction, c’est à raison que le MPC a maintenu le séquestre entrepris avec la motivation qu’il « ne saurait être exclu que [ladite somme] corresponde en partie au montant visé par l’autorité requérante » (v. RR.2023.93, act. 1.2, p. 9 s.). Quant au compte n°2 ouvert auprès de la banque C., les relevés laissent apparaître de nombreuses transactions de montants importants, notamment avec l’Ukraine, soit en particulier les trois crédits suivants des 13, 14 et 20 avril 2022, contenant la mention du contrat précité du 1er avril 2022 n. 2210/RON/NW-GN et dont les deux derniers totalisent un montant de USD 26'216'980, soit le montant quasi-exact mentionné par l’autorité requérante de sa demande d’entraide (dossier MPC, pièces 004126_01425, 004126_01426 et 004126_01428; v. ég. RR.2023.93, act. 1.3, p. 9). Il s’ensuit que le maintien des séquestres prononcés par le MPC en date du 30 mai 2023 est justifié. 5.4 Au vu de ce qui précède, le grief tiré de la violation du principe de la proportionnalité, respectivement de celui de l’utilité potentielle, se révèle mal fondé et doit, partant, être rejeté.</w:t>
      </w:r>
    </w:p>
    <w:p>
      <w:r>
        <w:rPr>
          <w:b/>
        </w:rPr>
        <w:t>E. 6</w:t>
      </w:r>
    </w:p>
    <w:p>
      <w:r>
        <w:t>Il s’ensuit que la remise à l’Etat requérant de la documentation bancaire relative aux comptes ouverts au nom de la recourante auprès des banques B., C., D. et E., de même que le maintien des séquestres prononcés dans le cadre des décisions litigieuses du 30 mai 2023 sont conformes au droit.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7</w:t>
      </w:r>
    </w:p>
    <w:p>
      <w:r>
        <w:t>Les considérations développées dans le cadre du présent arrêt conduisent au rejet des recours.</w:t>
      </w:r>
    </w:p>
    <w:p>
      <w:r>
        <w:rPr>
          <w:b/>
        </w:rPr>
        <w:t>E. 8.1</w:t>
      </w:r>
    </w:p>
    <w:p>
      <w:r>
        <w:t>Les frais de procédure, comprenant l'émolument d'arrêté, les émoluments de chancellerie et les débours, sont mis à la charge de la partie qui succombe (art. 63 al. 1 PA, applicable par renvoi de l'art. 39 al. 2 let. b LOAP).</w:t>
      </w:r>
    </w:p>
    <w:p>
      <w:r>
        <w:t>- 17 -</w:t>
      </w:r>
    </w:p>
    <w:p>
      <w:r>
        <w:t>Le montant de l'émolument est calculé en fonction de l'ampleur et de la difficulté de la cause, de la façon de procéder des parties, de leur situation financière et des frais de chancellerie (art. 73 al. 2 LOAP).</w:t>
      </w:r>
    </w:p>
    <w:p>
      <w:r>
        <w:rPr>
          <w:b/>
        </w:rPr>
        <w:t>E. 8.2</w:t>
      </w:r>
    </w:p>
    <w:p>
      <w:r>
        <w:t>En tant que partie qui succombe à la présente procédure, la recourante supportera les frais du présent arrêt, ascendant à CHF 10'000.-- (v. art. 73 al. 2 LOAP et art. 8 al. 3 du règlement du 31 août 2010 du Tribunal pénal fédéral sur les frais, émoluments, dépens, et indemnités de la procédure pénale fédérale du 31 août 2010 [RFPPF; RS 173.713.162] et art. 63 al. 5 PA), lesquels sont entièrement couverts par les avances de frais déjà acquittées. La caisse du Tribunal pénal fédéral restituera à la recourante le solde par CHF 5'000.--.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