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 vom 3. April 2023</w:t>
      </w:r>
    </w:p>
    <w:p>
      <w:r>
        <w:t>Bundesstrafgericht, 2023-04-03, DE</w:t>
      </w:r>
    </w:p>
    <w:p>
      <w:r>
        <w:rPr>
          <w:b/>
        </w:rPr>
        <w:t xml:space="preserve">Quelle: </w:t>
      </w:r>
      <w:r>
        <w:t>https://mcp.opencaselaw.ch/entscheid/bstger_RR.2023.9</w:t>
      </w:r>
    </w:p>
    <w:p>
      <w:r>
        <w:t>FR: TPF RR.2023.9 du 3 avril 2023</w:t>
      </w:r>
    </w:p>
    <w:p>
      <w:r>
        <w:t>IT: TPF RR.2023.9 del 3 aprile 2023</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w:t>
      </w:r>
    </w:p>
    <w:p>
      <w:r>
        <w:t>- 4 -</w:t>
      </w:r>
    </w:p>
    <w:p>
      <w:r>
        <w:t>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bilateralen Abkommen», 8.1 Anhang A; https://www.admin.ch/opc/de/european-union/international-agreements/ 008.html) i.V.m. dem Beschluss des Rates 2007/533/JI vom 12. Juni 2007 über die Einrichtung, den Betrieb und die Nutzung des SIS der zweiten Ge- neration (SIS II), namentlich Art. 26–31 (CELEX-Nr. 32007D0533; ABl. L 205 vom 7. August 2007, S. 63-84; abrufbar unter «Rechtssammlung zu den bi- lateralen Abkommen», 8.4 Weiterentwicklungen des Schengen-Besitz- 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 len (d.h. die Art. 2, 6, 8, 9 und 13 des EU-Auslieferungsübereinkommens sowie dessen Art. 1, soweit er für die anderen Artikel relevant ist).</w:t>
      </w:r>
    </w:p>
    <w:p>
      <w:r>
        <w:t>Die zwischen den Vertragsparteien geltenden weitergehenden Bestimmun- 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 nale, 5. Aufl. 2019, N. 229), sind das Bundesgesetz vom 20. März 1981 über internationale Rechtshilfe in Strafsachen (IRSG; SR 351.1) und die dazuge- hörige Verordnung vom 24. Februar 1982 (IRSV; SR 351.11) anwendbar. Vorbehalten bleibt die Wahrung der Menschenrechte (BGE 139 II 65 E. 5.4;</w:t>
      </w:r>
    </w:p>
    <w:p>
      <w:r>
        <w:t>- 5 -</w:t>
      </w:r>
    </w:p>
    <w:p>
      <w:r>
        <w:t>135 IV 212 E. 2.3; 123 II 595 E. 7c; TPF 2016 65 E. 1.2; 2008 24 E. 1.1; Urteil des Bundesgerichts 1C_444/2020 vom 23. Dezember 2020 E. 3.1).</w:t>
      </w:r>
    </w:p>
    <w:p>
      <w:r>
        <w:rPr>
          <w:b/>
        </w:rPr>
        <w:t>E. 2.1</w:t>
      </w:r>
    </w:p>
    <w:p>
      <w:r>
        <w:t>Gegen Auslieferungsentscheide des BJ kann innert 30 Tagen seit der Eröff- nung des Entscheids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2.2</w:t>
      </w:r>
    </w:p>
    <w:p>
      <w:r>
        <w:t>Das BJ bringt in der Beschwerdeantwort vor (act. 5 S. 3), dass der Beschwer- deführer seine Rügen erstmals in der Beschwerde vorbringe. Dies habe er aber bereits im Auslieferungsverfahren vor dem BJ tun sollen. Damit verstosse er gegen seine allgemeine Pflicht aus Treu und Glauben, Vorbrin- gen rechtzeitig geltend zu machen. Entsprechend beantragt das BJ, die Be- schwerde sei abzuweisen, soweit darauf einzutreten sei. Das BJ ruft dafür den Entscheid des Bundesstrafgerichts RR.2022.135 vom 25. August 2022 E. 7.2.2 an. Für den Beschwerdeführer hingegen entscheide das BJ alleine, wann es seine gesetzlichen Pflichten erfülle. Sei dies unterblieben, dürfe er dies mit Beschwerde rügen (act. 9 S. 2).</w:t>
      </w:r>
    </w:p>
    <w:p>
      <w:r>
        <w:t>Im Verfahren RR.2022.135 ging es darum, dass die Beschwerdekammer als Rechtsmittelinstanz nicht die erstinstanzliche Beurteilung anstelle der aus- führenden Behörde vornimmt. Der dortige Beschwerdeführer schilderte das faktische Fundament, wonach der ausländische Strafvollzug unmenschlich sei, erst im gerichtlichen Verfahren. In solchen Fällen ist der Behörde z.B. nicht zwingend bekannt, dass ein Beschwerdeführer zu einer besonders ge- fährdeten Personengruppe gehöre. Die Beschwerdekammer prüfte die Rüge dennoch inhaltlich (RR.2022.135 E. 7.2.2–7.2.4). Das BJ wendet das Recht von Amtes wegen an (und ist im Auslieferungsverfahren auch von Amtes wegen verpflichtet, die Einhaltung der menschenrechtlichen Verpflichtungen der Schweiz sicherzustellen, vgl. z.B. Entscheid des Bundesstrafgerichts RR.2019.222 vom 9. Oktober 2019 E. 4.10, 5.2 letzter Absatz). Der Be- schwerdeführer weist darauf zurecht hin. Ein Nichteintreten auf eine Be- schwerde wegen Verstosses gegen Treu und Glauben durch verspätetes Vorbringen ist keine gesetzlich ausdrücklich geregelte Folge. Geht es wie im Auslieferungsverfahren um viel (namentlich Massnahmen des Freiheitsent- zugs), dürfte es nur mit grosser Zurückhaltung in einen Rechtsverlust für die auszuliefernde Person führen. Vorliegend deshalb gar nicht auf die Be- schwerde einzutreten, ist nicht zulässig.</w:t>
      </w:r>
    </w:p>
    <w:p>
      <w:r>
        <w:t>- 6 -</w:t>
      </w:r>
    </w:p>
    <w:p>
      <w:r>
        <w:rPr>
          <w:b/>
        </w:rPr>
        <w:t>E. 2.3</w:t>
      </w:r>
    </w:p>
    <w:p>
      <w:r>
        <w:t>Der Beschwerdeführer ist als Adressat des Auslieferungsentscheids zu des- sen Anfechtung legitimiert. Auf die im Übrigen frist- und formgerecht erho- bene Beschwerde ist einzutreten.</w:t>
      </w:r>
    </w:p>
    <w:p>
      <w:r>
        <w:rPr>
          <w:b/>
        </w:rPr>
        <w:t>E. 3</w:t>
      </w:r>
    </w:p>
    <w:p>
      <w:r>
        <w:t>[Haftbefehl vom unzuständigen deutschen Amtsgericht]</w:t>
      </w:r>
    </w:p>
    <w:p>
      <w:r>
        <w:rPr>
          <w:b/>
        </w:rPr>
        <w:t>E. 3.1</w:t>
      </w:r>
    </w:p>
    <w:p>
      <w:r>
        <w:t>Der Beschwerdeführer rügt, das Amtsgericht Mönchengladbach sei örtlich und sachlich nicht zuständig, um den Haftbefehl im vorliegenden Fall zu er- lassen. Denn für die Gemeinden Niederkrüchten, Schwalmtal und Viersen sei das Amtsgericht Viersen zuständig. Er führt sodann aus, auch gestützt auf den Wohnort sei nach deutschem Recht keine Zuständigkeit des Amts- gerichts Mönchengladbach begründet. Dies führe zur Nichtigkeit des Haftbe- fehls, womit nicht, wie von Art. 12 Ziff. lit. a EAUe sowie den Art. 2, 28 und 41 IRSG aber verlangt, dem Auslieferungsgesuch ein vollstreckbarer Haft- befehl beiliege (act. 1 S. 4-6). Denn die Überprüfung der Zuständigkeit be- treffe keine reine Obliegenheiten oder Ordnungsvorschriften, sondern die Verletzung eines elementaren Grundsatzes (act. 9 S. 3).</w:t>
      </w:r>
    </w:p>
    <w:p>
      <w:r>
        <w:rPr>
          <w:b/>
        </w:rPr>
        <w:t>E. 3.2</w:t>
      </w:r>
    </w:p>
    <w:p>
      <w:r>
        <w:t>Nach dem völkerrechtlichen Vertrauensprinzip darf die ersuchte Behörde da- von ausgehen, dass die einem Rechtshilfebegehren bzw. dessen Ergänzun- gen bzw. Beilagen zugrunde liegenden Angaben den Tatsachen entspre- chen (Urteile des Bundesgerichts 1C_444/2020 vom 23. Dezember 2020 E. 3.1.2; 1C_209/2014 vom 24. April 2014 E. 3.2; 1A.122/2003 vom 25. Au- gust 2003 E. 3.2). Die schweizerische Rechtshilfebehörde hat die Gültigkeit der vom ersuchenden Staat unternommenen Verfahrensschritte und der von ihm vorgelegten Unterlagen nicht zu prüfen, es sei denn, es liege eine be- sonders schwerwiegende und offensichtliche Verletzung des ausländischen Verfahrensrechts vor, die das Auslieferungsersuchen als geradezu rechts- missbräuchlich erscheinen liesse (Urteile des Bundesgerichts 1C_454/2019 vom 12. September 2019 E. 2.2; 1A.118/2004 vom 3. August 2004 E. 3.8; 1A.15/2002 vom 5. März 2002 E. 3.2; ENGLER, Basler Kommentar Internati- onales Strafrecht, 2015, Art. 41 IRSG N. 5).</w:t>
      </w:r>
    </w:p>
    <w:p>
      <w:r>
        <w:rPr>
          <w:b/>
        </w:rPr>
        <w:t>E. 3.3</w:t>
      </w:r>
    </w:p>
    <w:p>
      <w:r>
        <w:t>Vorliegend erliess ein unabhängiges deutsches Gericht den Haftbefehl. Was der Beschwerdeführer vorbringt, schildert im Sinne des Auslieferungsrechts keine besonders schwerwiegende Verletzung des ausländischen Rechts, geschweige denn begründete es eine Missbräuchlichkeit des Rechtshilfeer- suchens. Das Rechtshilfeverfahren dient nicht der Wahrung der ausländi- schen Zuständigkeitsordnung. Das Bundesstrafgericht ist nicht Rechtsmittel- instanz deutscher Gerichte. Der Beschwerdeführer wird seine Vorbringen vielmehr im ausländischen Verfahren geltend machen können (vgl. Urteil des Bundesgerichts 1C_397/2017 vom 7. August 2017 E. 1.2) und dort zur Wah- rung seiner Rechte, soweit nötig, wirksame Rechtsmittel einlegen können</w:t>
      </w:r>
    </w:p>
    <w:p>
      <w:r>
        <w:t>- 7 -</w:t>
      </w:r>
    </w:p>
    <w:p>
      <w:r>
        <w:t>(vgl. Urteil des Bundesgerichts 1C_471/2022 vom 15. September 2022 E. 1.2). Die Rüge geht fehl.</w:t>
      </w:r>
    </w:p>
    <w:p>
      <w:r>
        <w:rPr>
          <w:b/>
        </w:rPr>
        <w:t>E. 3.4</w:t>
      </w:r>
    </w:p>
    <w:p>
      <w:r>
        <w:t>Der Beschwerdeführer bringt erstmals in der Replik vor, die Beschuldigten- rechte seien in Deutschland grob missachtet worden. Er tut dies mit folgen- der Schilderung (act. 9 S. 3 f.): Die deutschen Behörden wüssten seit dem Haftbefehl vom 10. Juli 2020, dass der Beschwerdeführer in Deutschland von RA C. verteidigt werde. Die Ausführung im Haftbefehl, die Aufenthalts- nachfrage beim Verteidiger sei unbeantwortet geblieben, sei falsch. Sie sei nie erfolgt. «Erst mit Verhaftung von A. in Italien konnte vom laufenden Ver- fahren Kenntnis genommen werden». Die Staatsanwaltschaft hätte A. über seinen Verteidiger ohne weiteres darüber informieren können, dass Klä- rungsbedarf bestehe. Er hätte sich so den Fragen der Staatsanwaltschaft längst gestellt. Vorliegend ist von der Sachverhaltsdarstellung im Auslieferungsersuchen auszugehen (vgl. obige Erwägung 3.2 zum Vertrauensprinzip). Es ist im Aus- lieferungsrecht auch nicht so, dass vor einer Auslieferung zwingend über den Anwalt zunächst zu einer Anhörung vorzuladen wäre. Der Beschwerdeführer schildert nichts, was einer schwerwiegenden Verletzung seiner Verteidi- gungsrechte gleichkäme (vgl. Urteil des Bundesgerichts 1A.135/2005 vom 22. August 2005 E. 3.2.2). Es ist nicht Aufgabe der Rechtshilfebehörden, im ersuchenden Staat die Wirksamkeit (hier: den Einbezug) der Verteidigung im Einzelnen zu überprüfen.</w:t>
      </w:r>
    </w:p>
    <w:p>
      <w:r>
        <w:rPr>
          <w:b/>
        </w:rPr>
        <w:t>E. 3.5</w:t>
      </w:r>
    </w:p>
    <w:p>
      <w:r>
        <w:t>Die Rüge ist unbegründet.</w:t>
      </w:r>
    </w:p>
    <w:p>
      <w:r>
        <w:rPr>
          <w:b/>
        </w:rPr>
        <w:t>E. 4</w:t>
      </w:r>
    </w:p>
    <w:p>
      <w:r>
        <w:t>[Verletzung des rechtlichen Gehörs / Kostenfolgen]</w:t>
      </w:r>
    </w:p>
    <w:p>
      <w:r>
        <w:rPr>
          <w:b/>
        </w:rPr>
        <w:t>E. 4.1</w:t>
      </w:r>
    </w:p>
    <w:p>
      <w:r>
        <w:t>Der Betreff des Auslieferungsersuchens vom 14. Februar 2022, also vor der Anrede, lautet: «Auslieferungsverkehr mit der Schweiz Auslieferung des deutschen Staatsangehörigen A. aus der Schweiz nach Deutschland zur Strafverfolgung Mein Schreiben vom 02.07.2021 (gl. Az.) Anlagen 2 Schriftstücke»</w:t>
      </w:r>
    </w:p>
    <w:p>
      <w:r>
        <w:t>Das BJ erklärte dem Beschwerdeführer im E-Mail vom 16. August 2022, beim Schreiben vom 2. Juli 2021 habe es sich um ein erstes Auslieferungs- ersuchen Deutschlands gehandelt, das aufgrund der Festnahme von A. in Italien wieder zurückgezogen worden sei. Da dieses Verfahren abgeschlos- sen und für das vorliegende Verfahren nicht entscheidrelevant sei, unterliege es nicht der Akteneinsicht. Im Übrigen würden beide Verfahren, das frühere</w:t>
      </w:r>
    </w:p>
    <w:p>
      <w:r>
        <w:t>- 8 -</w:t>
      </w:r>
    </w:p>
    <w:p>
      <w:r>
        <w:t>und abgeschlossene wie das heutige, auf demselben Haftbefehl vom 10. Juli 2020 des Amtsgerichts Mönchengladbach beruhen.</w:t>
      </w:r>
    </w:p>
    <w:p>
      <w:r>
        <w:rPr>
          <w:b/>
        </w:rPr>
        <w:t>E. 4.2</w:t>
      </w:r>
    </w:p>
    <w:p>
      <w:r>
        <w:t>Der in Art. 29 Abs. 2 BV grundrechtlich verankerte Anspruch auf rechtliches Gehör wird im schweizerischen Rechtshilfeverfahren durch Art. 80b IRSG und Art. 26 ff. VwVG (i.V.m. Art. 12 Abs. 1 IRSG) konkretisiert (Urteil des Bundesgerichtes 1A.57/2007 vom 24. September 2007 E. 2.1; vgl. DANGUBIC/KESHELAVA, Basler Kommentar Internationales Strafrecht, 2015, Art. 12 IRSG N. 4; HEIMGARTNER/NIGGLI, a.a.O., Art. 80b IRSG N. 1; ZIMMERMANN, a.a.O., Rz. 472; zum Ganzen BGE 145 IV 99 E. 3.1). 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soweit diese notwendig ist, um die Interessen des Berechtigten zu wahren, d.h. allein jene Akten sind offen zu legen, welche ihn direkt und persönlich betreffen. Ein darüberhinausgehender Anspruch auf Aktenein- sicht besteht nicht, namentlich kann nicht Einsicht in Akten verlangt werden, auf welche sich die Behörde bei ihrem Entscheid nicht stützt. Folglich bezieht sich auch die Pflicht der Vorinstanz zur Herausgabe der Akten an die Be- schwerdeinstanz (Art. 57 Abs. 1 VwVG am Ende) nur auf jene Unterlagen, auf welche sich der angefochtene Entscheid stützt (Urteil des Bundesge- richts 1A.94/2001 vom 25. Juni 2001 E. 2b; TPF 2010 142 E. 2.1; TPF 2008 91 E. 3.2; Entscheide des Bundesstrafgerichts RR.2021.169 vom 11. Mai 2022 E. 5.1; RR.2016.148 vom 20. September 2016 E. 5).</w:t>
      </w:r>
    </w:p>
    <w:p>
      <w:r>
        <w:rPr>
          <w:b/>
        </w:rPr>
        <w:t>E. 4.3</w:t>
      </w:r>
    </w:p>
    <w:p>
      <w:r>
        <w:t>Der Beschwerdeführer rügt (act. 1 S. 6–8), das BJ habe ihm das Schreiben Deutschlands vom 2. Juli 2021 nicht zugestellt, obwohl das Auslieferungser- suchen vom 14. Februar 2022 explizit darauf Bezug genommen habe. Damit habe Deutschland selbst das frühere Schreiben als verfahrensrelevant be- zeichnet. Er habe auch die vom BJ erwähnte Rücknahmerklärung Deutsch- lands vom 10. September 2021 nicht einsehen können. Der Beschwerdefüh- rer scheint sodann zu argumentieren, das BJ habe so in unzulässiger vor- läufiger Beweiswürdigung den Beweisantrag (wohl das Akteneinsichtsge- such) abgewiesen und damit den massgeblichen Sachverhalt offensichtlich unrichtig festgestellt. Dass der Beschwerdeführer nicht habe verifizieren kön- nen, inwiefern das Schreiben vom 2. Juli 2021 nicht verfahrensrelevant sei, verletze sein rechtliches Gehör. Der Auslieferungsentscheid sei daher auf- zuheben und ihm Gelegenheit zur Einsicht und Stellungnahme zu geben. In seiner Replik (act. 9 S. 2 f.) führt der Beschwerdeführer aus, sein Ein- sichtsbegehren sei nunmehr obsolet, nachdem das BJ die verlangten Doku- mente mit der Beschwerdeantwort eingereicht habe. Das BJ habe damit sei- nen Antrag zumindest teilweise anerkannt. Er habe nun erst die Übersicht</w:t>
      </w:r>
    </w:p>
    <w:p>
      <w:r>
        <w:t>- 9 -</w:t>
      </w:r>
    </w:p>
    <w:p>
      <w:r>
        <w:t>über die von der ersuchenden Behörde zum Bestandteil des aktuellen Aus- lieferungsbegehrens erklärten Akten, auf deren Kommentierung er verzichte.</w:t>
      </w:r>
    </w:p>
    <w:p>
      <w:r>
        <w:rPr>
          <w:b/>
        </w:rPr>
        <w:t>E. 4.4</w:t>
      </w:r>
    </w:p>
    <w:p>
      <w:r>
        <w:t>Das BJ hat mit seiner Beschwerdeantwort in der Tat weitere Dokumente ein- gereicht (act. 5.16 Auslieferungsersuchen vom 02.07.2021; act. 5.17 vom 03.08.2021 Ergänzung; act. 5.18 vom 10.09.2021 Rücknahme zufolge Ver- haftung in Italien). Der Antrag des Beschwerdeführers ist vorliegend nur noch insoweit relevant, als eine Gehörsverletzung Auswirkungen auf die Ge- richtskosten haben kann (BGE 147 IV 340 E. 4.1.4). Eine Gehörsverletzung lag indessen im Verfahren vor dem BJ nicht vor: Der Auslieferungsentscheid des BJ stützt sich in keiner Weise auf das frühere und zurückgezogene Aus- lieferungsersuchen. Dies bestreitet der Beschwerdeführer denn auch gar nicht. Er ist zudem nicht berechtigt, gegen die Erledigung des früheren Aus- lieferungsersuchens Beschwerde zu führen. Auch insoweit besteht kein Ein- sichtsrecht. Das frühere Ersuchen ist für das vorliegende Verfahren nicht re- levant. Daran ändert auch nichts, dass die ersuchende Behörde im Betreff daran erinnert, in der gleichen Sache schon einmal (und erledigte) Korres- pondenz geführt zu haben. Das BJ war damit nicht verpflichtet, die Unterla- gen einzureichen. Es wahrte im Verwaltungsverfahren das rechtliche Gehör. Die Rüge des Beschwerdeführers ist unbegründet und bleibt ohne Auswir- kungen auf die Gerichtskosten.</w:t>
      </w:r>
    </w:p>
    <w:p>
      <w:r>
        <w:rPr>
          <w:b/>
        </w:rPr>
        <w:t>E. 5</w:t>
      </w:r>
    </w:p>
    <w:p>
      <w:r>
        <w:t>Den Akten sind keine anderen Gründe zu entnehmen, welche einer Auslie- ferung des Beschwerdeführers entgegenstünden. Gehen die erhobenen Rü- gen fehl, ist die Beschwerde abzuweisen.</w:t>
      </w:r>
    </w:p>
    <w:p>
      <w:r>
        <w:rPr>
          <w:b/>
        </w:rPr>
        <w:t>E. 6</w:t>
      </w:r>
    </w:p>
    <w:p>
      <w:r>
        <w:t>Bei diesem Ausgang des Verfahrens sind die Gerichtskosten dem Be- schwerdeführer aufzuerlegen (vgl. Art. 63 Abs. 1 VwVG). Die Gerichtsgebühr ist auf Fr. 3'000.-- festzusetzen (vgl. Art. 63 Abs. 5 VwVG i.V.m. Art. 73 StBOG sowie Art. 5 und 8 Abs. 3 lit. a BStKR), unter Anrechnung des vom Beschwerdeführer geleisteten Kostenvorschusses (vgl. act. 6)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