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RR.2023.85 vom 26. Juli 2023</w:t>
      </w:r>
    </w:p>
    <w:p>
      <w:r>
        <w:t>Bundesstrafgericht, 2023-07-26, DE</w:t>
      </w:r>
    </w:p>
    <w:p>
      <w:r>
        <w:rPr>
          <w:b/>
        </w:rPr>
        <w:t xml:space="preserve">Quelle: </w:t>
      </w:r>
      <w:r>
        <w:t>https://mcp.opencaselaw.ch/entscheid/bstger_RR.2023.85</w:t>
      </w:r>
    </w:p>
    <w:p>
      <w:r>
        <w:t>FR: TPF RR.2023.85 du 26 juillet 2023</w:t>
      </w:r>
    </w:p>
    <w:p>
      <w:r>
        <w:t>IT: TPF RR.2023.85 del 26 luglio 2023</w:t>
      </w:r>
    </w:p>
    <w:p>
      <w:pPr>
        <w:pStyle w:val="Heading2"/>
      </w:pPr>
      <w:r>
        <w:t>Regeste</w:t>
      </w:r>
    </w:p>
    <w:p>
      <w:r>
        <w:t>Auslieferung an Kroatien; Auslieferungsentscheid (Art. 55 IRSG); unentgeltliche Rechtspflege (Art. 65 Abs. 1 und 2 VwVG)</w:t>
      </w:r>
    </w:p>
    <w:p>
      <w:pPr>
        <w:pStyle w:val="Heading2"/>
      </w:pPr>
      <w:r>
        <w:t>Erwägungen</w:t>
      </w:r>
    </w:p>
    <w:p>
      <w:r>
        <w:rPr>
          <w:b/>
        </w:rPr>
        <w:t>E. 1.1</w:t>
      </w:r>
    </w:p>
    <w:p>
      <w:r>
        <w:t>Für den Auslieferungsverkehr mit Kroatien sind primär das Europäische Aus- lieferungsübereinkommen vom 13. Dezember 1957 (EAUe; SR 0.353.1), das Zusatzprotokoll zum EAUe vom 15. Oktober 1975 (ZPI EAUe; SR 0.353.11) sowie das Zweite Zusatzprotokoll zum EAUe vom 17. März 1978 (ZPII EAUe; SR 0.353.12) massgebend. Überdies anwendbar sind das Übereinkommen vom 19. Juni 1990 zur Durchführung des Übereinkommens von Schengen vom 14. Juni 1985 (Schengener Durchführungsübereinkommen [SDÜ]; CELEX-Nr. 42000A0922(02); Abl. L 239 vom 22. September 2000, S. 19– 62; Text nicht publiziert in der SR, jedoch abrufbar auf der Website der Schweizerischen Eidgenossenschaft unter «Rechtssammlung zu den sekto- riellen Abkommen mit der EU», 8.1 Anhang A; https://www.ad- min.ch/opc/de/european-union/international-agreements/008.html) i.V.m. der Verordnung (EU) 2018/1862 des Europäischen Parlaments und des Ra- tes vom 28. November 2018 über die Einrichtung, den Betrieb und die Nut- zung des Schengener Informationssystems (SIS) im Bereich der polizeili- chen Zusammenarbeit und der justiziellen Zusammenarbeit in Strafsachen, zur Änderung und Aufhebung des Beschlusses 2007/533/JI des Rates und zur Aufhebung der Verordnung (EG) Nr. 1986/2006 des Europäischen Par- laments und des Rates und des Beschlusses 2010/261/EU der Kommission, namentlich Art. 26–31 (CELEX-Nr. 32018R1862; Abl. L 312 vom 7. Dezem- ber 2018, S. 56–106;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diese Staatsverträge bestimmte Fragen nicht abschliessend regeln, findet auf das Verfahren der Auslieferung ausschliesslich das Recht des er- suchten Staates Anwendung (Art. 22 EAUe), vorliegend also das Bundesge- setz vom 20. März 1981 (Rechtshilfegesetz, IRSG; SR 351.1) und die</w:t>
      </w:r>
    </w:p>
    <w:p>
      <w:r>
        <w:t>- 7 -</w:t>
      </w:r>
    </w:p>
    <w:p>
      <w:r>
        <w:t>Verordnung vom 24. Februar 1982 über internationale Rechtshilfe in Straf- sachen (Rechtshilfeverordnung, IRSV; SR 351.11). Das innerstaatliche Recht gelangt nach dem Günstigkeitsprinzip auch dann zur Anwendung, wenn dieses geringere Anforderungen an die Auslieferung stellt (BGE 142 IV 250 E. 3; 140 IV 123 E. 2; 137 IV 33 E. 2.2.2; je m.w.H.). Vorbehalten bleibt die Wahrung der Menschenrechte (BGE 135 IV 212 E. 2.3;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w:t>
      </w:r>
    </w:p>
    <w:p>
      <w:r>
        <w:t>Gegen Auslieferungsentscheide des BJ kann innert 30 Tagen seit der Eröff- nung Beschwerde erhoben werden (Art. 55 Abs. 3 IRSG i.V.m. Art. 25 Abs. 1 IRSG, Art. 50 Abs. 1 VwVG, Art. 37 Abs. 2 lit. a Ziff. 1 StBOG). Die vorlie- gende Beschwerde wurde fristgerecht erhoben und die übrigen Eintretens- voraussetzungen geben keinen Anlass zu Bemerkungen. Auf die Be- schwerde ist einzutreten.</w:t>
      </w:r>
    </w:p>
    <w:p>
      <w:r>
        <w:rPr>
          <w:b/>
        </w:rPr>
        <w:t>E. 3.1</w:t>
      </w:r>
    </w:p>
    <w:p>
      <w:r>
        <w:t>Die Beschwerdekammer ist nicht an die Begehren der Parteien gebunden (Art. 25 Abs. 6 IRSG). Sie prüft die Auslieferungsvoraussetzungen grund- sätzlich mit freier Kognition. Die Beschwerdekammer befasst sich jedoch nur mit Tat- und Rechtsfragen, die Streitgegenstand der Beschwerde bilden (BGE 132 II 81 E. 1.4; 130 II 337 E. 1.4; TPF 2011 97 E. 5; Entscheid des Bundesstrafgerichts RR.2013.357 vom 26. Februar 2014 E. 3).</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t>- 8 -</w:t>
      </w:r>
    </w:p>
    <w:p>
      <w:r>
        <w:rPr>
          <w:b/>
        </w:rPr>
        <w:t>E. 4.1</w:t>
      </w:r>
    </w:p>
    <w:p>
      <w:r>
        <w:t>Der Beschwerdeführer macht geltend, er sei im kroatischen Strafverfahren nicht gehörig anwaltlich vertreten gewesen sei. Es sei mehr als zweifelhaft, dass die grundsätzlichen Verteidigungsrechte im ausländischen Verfahren gewahrt worden seien (act. 1 S. 4 ff.). Sodann sei das Berufungsurteil vom 22. Januar 2022 offensichtlich nicht zugestellt worden (act. 1 S. 6 f.). Somit seien die Mindestrechte des Beschwerdeführers (gehörige Verteidigung und zeitnahe Zustellung des Urteils) im Sinne von Art. 6 EMRK nicht gewahrt worden (act. 1 S. 7).</w:t>
      </w:r>
    </w:p>
    <w:p>
      <w:r>
        <w:t>Im Einzelnen bringt der Beschwerdeführer Folgendes vor:</w:t>
      </w:r>
    </w:p>
    <w:p>
      <w:r>
        <w:rPr>
          <w:b/>
        </w:rPr>
        <w:t>E. 4.2</w:t>
      </w:r>
    </w:p>
    <w:p>
      <w:r>
        <w:t>Gemäss den kroatischen Behörden habe Rechtsanwalt C. an der Hauptver- handlung vom 10. September 2019 teilgenommen. Gleich im übernächsten Satz heisse es dann aber, dem Beschwerdeführer sei an dieser Hauptver- handlung kein Verteidiger zur Seite gestanden. Wann Rechtsanwalt C. dem Beschwerdeführer das Mandat gekündigt haben soll, erschliesse sich nicht. Gemäss den kroatischen Behörden sei das Gericht mit dem Schriftstück vom «2. März» in Kenntnis gesetzt worden. Ob es sich um den 2. März vor oder nach der Hauptverhandlung vom 10. September 2019 handeln soll, sei nicht ersichtlich. Im Zeitraum vom 28. September 2020 bis 15. Januar 2021 soll der Beschwerdeführer von Rechtsanwältin D. verteidigt worden sein. Über die Mandatsniederlegung dieser Rechtsanwältin sei der Beschwerdeführer aber erst an der Hauptverhandlung vom 3. Februar 2021 in Kenntnis gesetzt worden. Trotzdem habe diese Hauptverhandlung stattgefunden. Somit habe der Beschwerdeführer keine Gelegenheit gehabt, für diese Hauptverhand- lung vom 3. Februar 2021, welche stattgefunden habe, einen neuen Vertei- diger zu mandatieren. Mit einer weiteren Hauptverhandlung vom 17. März 2021 sei das erstinstanzliche Verfahren abgeschlossen worden (act. 1 S. 5). Der Beschwerdegegner setze sich mit diesen zeitlichen Abläufen nicht aus- einander. Aus dem Urteil des Amtsgerichts in Pazin vom 22. März 2021 er- schliesse sich nicht, in welchen Verfahrensabschnitten der Beschwerdefüh- rer durch welche Rechtsanwälte vertreten gewesen sei. Im Verteiler des Ur- teils werde kein einziger Anwalt namentlich erwähnt. Offenkundig sei der Be- schwerdeführer im Urteilszeitpunkt nicht anwaltlich vertreten gewesen. Aus dem Urteil gehe auch nicht hervor, dass der Beschwerdeführer auf einen Rechtsbeistand verzichtet hätte. Es gehe um die Tatsache, dass der Be- schwerdeführer mindestens in einzelnen Verfahrensabschnitten gar kein Verteidiger zur Verfügung gestanden sei, und dass ihm mindestens für die Hauptverhandlung vom 3. Februar 2021 keine Zeit und Gelegenheit zur Vor- bereitung seiner Verteidigung zur Verfügung gestanden sei. Aus dem Um- stand, dass Rechtsanwalt E. gegen das erstinstanzliche Urteil Berufung</w:t>
      </w:r>
    </w:p>
    <w:p>
      <w:r>
        <w:t>- 9 -</w:t>
      </w:r>
    </w:p>
    <w:p>
      <w:r>
        <w:t>eingelegt habe, könne sicher nicht geschlossen werden, dass der Beschwer- deführer im erstinstanzlichen Verfahren gehörig verteidigt gewesen sei ge- mäss Art. 6 Abs. 3 EMRK (act. 1 S. 6).</w:t>
      </w:r>
    </w:p>
    <w:p>
      <w:r>
        <w:rPr>
          <w:b/>
        </w:rPr>
        <w:t>E. 4.3</w:t>
      </w:r>
    </w:p>
    <w:p>
      <w:r>
        <w:t>Im zweiten Punkt rügt der Beschwerdeführer, das Berufungsurteil vom 28. Januar 2022 sei ihm nicht zugestellt worden. Eine Urteilseröffnung am 28. Januar 2022 werde in den Akten nicht bestätigt, weshalb nach Darstel- lung des Beschwerdeführers aus der Anwesenheit von Rechtsanwalt E. an der Gerichtsverhandlung vom 28. Januar 2022 nichts abgeleitet werden könne. Die von den kroatischen Behörden aufgeführte Zustellung an die Mut- ter des Beschwerdeführers werde im Verteiler des Berufungsurteils nicht er- wähnt und sei bestritten (act. 1 S. 6 f.). Die kroatischen Behörden hätten eine Zustellung des Berufungsurteils weder an den Beschwerdeführer noch an seinen Verteidiger noch an seine Mutter belegt. Somit seien die Mindest- rechte des Beschwerdeführers nicht gewahrt worden (act. 1 S. 7).</w:t>
      </w:r>
    </w:p>
    <w:p>
      <w:r>
        <w:rPr>
          <w:b/>
        </w:rPr>
        <w:t>E. 4.4</w:t>
      </w:r>
    </w:p>
    <w:p>
      <w:r>
        <w:t>Die Schweiz prüft die Auslieferungsvoraussetzungen des EAUe auch im Lichte ihrer grundrechtlichen völkerrechtlichen Verpflichtungen. Einem Ersu- chen wird nicht entsprochen, wenn Gründe für die Annahme bestehen, dass das ausländische Verfahren den Grundsätzen der EMRK (SR 0.101) oder des UNO-Pakt II (SR 0.103.2) nicht entspricht oder andere schwere Mängel aufweist (Art. 2 Abs. 1 lit. a und d IRSG). Art. 2 IRSG will verhindern, dass die Schweiz die Durchführung von Strafverfahren unterstützt, in welchen den verfolgten Personen die ihnen in einem Rechtsstaat zustehenden und insbe- sondere durch die EMRK und den UNO-Pakt II umschriebenen Minimalga- rantien nicht gewährt werden oder welche den internationalen ordre public verletzen (BGE 135 I 191 E. 2.1; 133 IV 40 E. 7.1; 130 II 217 E. 8.1; TPF 2012 144 E. 5.1.1; TPF 2010 56 E. 6.3.2).</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t>Dabei muss der Verfolgte glaubhaft machen, dass objektiv und ernsthaft eine schwerwiegende Verletzung der Menschenrechte im ersuchenden Staat zu befürchten ist, die ihn unmittelbar berührt (vgl. BGE 130 II 217 E. 8.1; 129 II</w:t>
      </w:r>
    </w:p>
    <w:p>
      <w:r>
        <w:t>- 10 -</w:t>
      </w:r>
    </w:p>
    <w:p>
      <w:r>
        <w:t>268 E. 6.1; 126 II 324 E. 4a; TPF 2012 144 E. 5.1.1). Abstrakte Behauptun- gen genügen nicht. Der Beschwerdeführer muss seine Vorbringen im Ein- zelnen präzisieren (Urteil des Bundesgerichts 1A.210/1999 vom 12. Dezem- ber 1999 E. 8b).</w:t>
      </w:r>
    </w:p>
    <w:p>
      <w:r>
        <w:t>Beziehen sich die vom Beschwerdeführer geltend gemachten Mängel auf ein im ersuchenden Staat bereits rechtskräftig abgeschlossenes Strafverfahren, sind im Auslieferungs- bzw. Beschwerdeverfahren insofern erhöhte Anforde- rungen an die Glaubhaftmachung zu stellen, als er die seinem Einwand zu- folge erfolgten Grundrechtsverletzungen konkret aufzuzeigen hat (Entscheid des Bundesstrafgerichts RR.2012.23 vom 2. August 2012 E. 5.2.5).</w:t>
      </w:r>
    </w:p>
    <w:p>
      <w:r>
        <w:rPr>
          <w:b/>
        </w:rPr>
        <w:t>E. 4.5</w:t>
      </w:r>
    </w:p>
    <w:p>
      <w:r>
        <w:t>Die kroatischen Behörden erklärten zusammenfassend (s. zum Einzelnen supra lit. J), dass im erstinstanzlichen Verfahren sowohl der erste vom Be- schwerdeführer mandatierte Verteidiger als auch die in der Folge von ihm beauftragte Verteidigerin das Mandat niedergelegt hätten. Sie führten aus, dass das erstinstanzliche Gericht den Beschwerdeführer über die letzte Mandatsniederlegung mehr als ein Monat vor der Hauptverhandlung vom 17. März 2021 – das Urteil wurde am 22. März 2021 gefällt – orientiert habe. Sie hielten fest, dass der Beschwerdeführer an der Hauptverhandlung vom 17. März 2021 anwesend gewesen sei, und ergänzten, dass im konkreten Strafverfahren ein Verteidiger nicht obligatorisch sei. Zum zweitinstanzlichen Verfahren führten sie aus, der dritte vom Beschwerdeführer mandatierte Ver- teidiger habe Berufung eingelegt und sei an der Urteilseröffnung vom 28. Ja- nuar 2022 anwesend gewesen. Der «ordnungsgemäss informierte» Be- schwerdeführer sei abwesend gewesen, das Berufungsurteil sei dem Be- schwerdeführer zugestellt worden, wobei dessen Mutter den Empfang quit- tiert habe.</w:t>
      </w:r>
    </w:p>
    <w:p>
      <w:r>
        <w:rPr>
          <w:b/>
        </w:rPr>
        <w:t>E. 4.6</w:t>
      </w:r>
    </w:p>
    <w:p>
      <w:r>
        <w:t>Nach dem völkerrechtlichen Vertrauensprinzip (Urteil des Bundesgerichts 1A.122/2003 vom 25. August 2003 E. 3.2; Entscheid des Bundesstrafge- richts RR.2023.9 vom 3. April 2023 E. 3.2 m.w.H.) ist grundsätzlich davon auszugehen, dass die von der ersuchenden Behörde gemachten Angaben zutreffen, und vorliegend ergeben sich auch weder aus den Akten noch aus den Eingaben des Beschwerdeführers Anhaltspunkte, welche Zweifel an den Ausführungen der kroatischen Behörden zu begründen vermöchten. Daraus ergibt sich eindeutig, dass der damals in Freiheit lebende Beschwerdeführer im erstinstanzlichen Verfahren aus freiem Willen darauf verzichtet hat, einen weiteren Verteidiger zu mandatieren. Dabei ist zu betonen, dass der dritte, vom Beschwerdeführer mandatierte Verteidiger die – nun im Auslieferungs- bzw. Beschwerdeverfahren gerügte – fehlende Rechtsvertretung des Be- schwerdeführers beim Abschluss des erstinstanzlichen Verfahrens gerade</w:t>
      </w:r>
    </w:p>
    <w:p>
      <w:r>
        <w:t>- 11 -</w:t>
      </w:r>
    </w:p>
    <w:p>
      <w:r>
        <w:t>nicht zum Gegenstand des Berufungsverfahrens gemacht hat. Weiter darf vorliegend gestützt auf die Auskünfte der ersuchenden Behörde angenom- men werden, dass der damalige Verteidiger des Beschwerdeführers an der Berufungsverhandlung anwesend war und der Beschwerdeführer dieser un- entschuldigt fernblieb, obwohl er auch im Berufungsverfahren ordnungsge- mäss vorgeladen worden war. Es bestehen nach dem Gesagten keine Hin- weise, dass im kroatischen Strafverfahren die minimalen Verteidigungs- rechte des im Rechtsmittelverfahren durchgehend durch einen Verteidiger seiner Wahl verteidigten Beschwerdeführers nicht gewahrt worden wären. Soweit der Beschwerdeführer rügt, seine Mutter habe für ihn das Berufungs- urteil in Empfang genommen, legt er ohnehin nicht dar, weshalb seine Mutter nicht dazu berechtigt gewesen sein soll (vgl. für Zustellungen im schweizeri- sche Verfahren Art. 85 Abs. 3 StPO).</w:t>
      </w:r>
    </w:p>
    <w:p>
      <w:r>
        <w:rPr>
          <w:b/>
        </w:rPr>
        <w:t>E. 4.7</w:t>
      </w:r>
    </w:p>
    <w:p>
      <w:r>
        <w:t>Zusammenfassend erweist sich die Rüge als unbegründet und die Be- schwerde ist abzuweisen.</w:t>
      </w:r>
    </w:p>
    <w:p>
      <w:r>
        <w:rPr>
          <w:b/>
        </w:rPr>
        <w:t>E. 5.1</w:t>
      </w:r>
    </w:p>
    <w:p>
      <w:r>
        <w:t>Der Beschwerdeführer stellt das Gesuch um Gewährung der unentgeltlichen Prozessführung und Rechtsvertretung (RP.2023.27).</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w:t>
      </w:r>
    </w:p>
    <w:p>
      <w:r>
        <w:t>Diese Regelung ist Ausfluss von Art. 29 Abs. 3 BV. Gemäss der bundesge- richtlichen Rechtsprechung sind Prozessbegehren als aussichtslos anzuse- hen, wenn die Gewinnaussichten beträchtlich geringer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5.3</w:t>
      </w:r>
    </w:p>
    <w:p>
      <w:r>
        <w:t>Nach dem oben Ausgeführten muss die vorliegende Beschwerde als aus- sichtslos bezeichnet werden. Das Gesuch um Gewährung der unentgeltli- chen Prozessführung und Rechtsvertretung ist daher abzuweisen.</w:t>
      </w:r>
    </w:p>
    <w:p>
      <w:r>
        <w:t>- 12 -</w:t>
      </w:r>
    </w:p>
    <w:p>
      <w:r>
        <w:rPr>
          <w:b/>
        </w:rPr>
        <w:t>E. 6</w:t>
      </w:r>
    </w:p>
    <w:p>
      <w:r>
        <w:t>Bei diesem Ausgang des Verfahrens sind die Gerichtskosten dem Be- schwerdeführer aufzuerlegen (Art. 63 Abs. 1 VwVG i.V.m. Art. 39 Abs. 2 lit. b StBOG). Für die Berechnung der Gerichtsgebühr gelangt das BStKR (i.V.m. Art. 63 Abs. 5 VwVG) zur Anwendung. Unter Berücksichtigung aller Um- stände ist die Gerichtsgebühr vorliegend auf Fr. 3'000.-- festzusetzen.</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