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RR.2023.84 vom 4. März 2024</w:t>
      </w:r>
    </w:p>
    <w:p>
      <w:r>
        <w:t>Bundesstrafgericht, 2024-03-04, FR</w:t>
      </w:r>
    </w:p>
    <w:p>
      <w:r>
        <w:rPr>
          <w:b/>
        </w:rPr>
        <w:t xml:space="preserve">Quelle: </w:t>
      </w:r>
      <w:r>
        <w:t>https://mcp.opencaselaw.ch/entscheid/bstger_RR.2023.84</w:t>
      </w:r>
    </w:p>
    <w:p>
      <w:r>
        <w:t>FR: TPF RR.2023.84 du 4 mars 2024</w:t>
      </w:r>
    </w:p>
    <w:p>
      <w:r>
        <w:t>IT: TPF RR.2023.84 del 4 marzo 2024</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Bien que le recours soumis à l’examen du Tribunal pénal fédéral ait été rédigé en allemand comme le permet l’art. 6 al. 1 de la loi fédérale du</w:t>
      </w:r>
    </w:p>
    <w:p>
      <w:r>
        <w:rPr>
          <w:b/>
        </w:rPr>
        <w:t>E. 1.2</w:t>
      </w:r>
    </w:p>
    <w:p>
      <w:r>
        <w:t>L’entraide judiciaire entre les Pays-Bas et la Confédération suisse est prioritairement régie par la Convention européenne d'entraide judiciaire en</w:t>
      </w:r>
    </w:p>
    <w:p>
      <w:r>
        <w:t>- 5 -</w:t>
      </w:r>
    </w:p>
    <w:p>
      <w:r>
        <w:t>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https://www.fedlex.admin.ch/fr/sector-specific-agreements/EU-acts-register/ 8/8.1]) s'appliquent également à l'entraide pénale entre la Suisse et les Pays- Bas (v. arrêt du Tribunal pénal fédéral RR.2017.135 du 24 octobre 2019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ainsi que les art. 14 et 43 ss de la Convention des Nations Unies contre la corruption, entrée en vigueur pour les Pays-Bas le 30 novembre 2006 et pour la Suisse le 24 octobre 2009 (UNCAC; RS 0.311.56) applicable au blanchiment d’argent indépendamment de la nature de l’infraction préalable. Pour le surplus, l’EIMP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l'entraide (ATF 142 IV 250 consid. 3; 140 IV 123 consid. 2; 137 IV 33 consid. 2.2.2). L'application de la norme la plus favorable (principe dit « de faveur ») doit avoir lieu dans le respect des droits fondamentaux (ATF 135 IV 212 consid. 2.3).</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rPr>
          <w:b/>
        </w:rPr>
        <w:t>E. 1.4</w:t>
      </w:r>
    </w:p>
    <w:p>
      <w:r>
        <w:t>Formé dans les 30 jours à compter de la notification de la décision de clôture, le recours a été déposé en temps utile (art. 80k EIMP).</w:t>
      </w:r>
    </w:p>
    <w:p>
      <w:r>
        <w:rPr>
          <w:b/>
        </w:rPr>
        <w:t>E. 1.5</w:t>
      </w:r>
    </w:p>
    <w:p>
      <w:r>
        <w:t>Selon l'art. 80h let. b EIMP, la qualité pour recourir contre une mesure d'entraide judiciaire est reconnue à celui qui est personnellement et directement touché par une mesure d’entraide et a un intérêt digne de protection à ce qu’elle soit annulée ou modifiée. Précisant cette disposition, l’art. 9a let. a OEIMP reconnaît au titulaire – personne physique ou morale –</w:t>
      </w:r>
    </w:p>
    <w:p>
      <w:r>
        <w:t>- 6 -</w:t>
      </w:r>
    </w:p>
    <w:p>
      <w:r>
        <w:t>d’un compte bancaire la qualité pour recourir contre la remise à l’Etat requérant d’informations relatives à ce compte (ATF 137 IV 134 consid. 5; 118 Ib 547 consid. 1d). La recourante est titulaire de la relation bancaire à propos de laquelle de la documentation doit être remise. Partant, elle dispose de la qualité pour agir.</w:t>
      </w:r>
    </w:p>
    <w:p>
      <w:r>
        <w:rPr>
          <w:b/>
        </w:rPr>
        <w:t>E. 1.6</w:t>
      </w:r>
    </w:p>
    <w:p>
      <w:r>
        <w:t>Il y a lieu d’entrer en matière.</w:t>
      </w:r>
    </w:p>
    <w:p>
      <w:r>
        <w:t>2.</w:t>
      </w:r>
    </w:p>
    <w:p>
      <w:r>
        <w:t>2.1 La recourante fait d’abord valoir une violation de son droit d’être entendue sous divers aspects. Elle conteste en premier lieu le fait de s’être vue remettre la traduction et la lettre d’accompagnement de la demande d’entraide mais pas la version originale de celle-ci. Elle invoque dès lors ne pas pouvoir vérifier la validité de la traduction. 2.2</w:t>
      </w:r>
    </w:p>
    <w:p>
      <w:r>
        <w:t>2.2.1 L'art. 29 al. 2 de la Constitution fédérale de la Confédération suisse du 1er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2.3 En matière d'entraide judiciaire, ce droit est mis en œuvre par l'art. 80b EIMP et par les art. 26 et 27 PA, applicables par renvoi de l'art. 12 al. 1 EIMP. Ces dispositions permettent à l'ayant droit de consulter le dossier de la procédure, à moins que certains intérêts s'y opposent (art. 80b al. 2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(v.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p. 515). D'après la</w:t>
      </w:r>
    </w:p>
    <w:p>
      <w:r>
        <w:t>- 7 -</w:t>
      </w:r>
    </w:p>
    <w:p>
      <w:r>
        <w:t>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arrêt du Tribunal pénal fédéral RR.2023.63 + RR.2023.64 du 12 décembre 2023 consid. 2.1.1). 2.3.1 S’agissant d’abord de l’obtention de la demande d’entraide en langue originale par la recourante, il faut rappeler que selon l'art. 28 al. 5 EIMP, les demandes et leurs annexes doivent être présentées dans l'une des trois langues officielles de la Suisse, ou accompagnées d'une traduction dans une de ces trois langues. Dès lors que seule une traduction de la demande d’entraide suffit au regard des exigences légales, le fait que la recourante n’ait reçu la demande d’entraide que dans sa traduction française ne saurait consacrer une atteinte à son droit d’être entendue. On relèvera par ailleurs, que l'essentiel est que la langue de la procédure ne constitue pas un obstacle qui empêche la personne concernée par l'exécution de la demande de participer à la procédure et de défendre ses droits. La recourante ne prétend d'ailleurs pas avoir compris le sens et la portée de l'entraide requise différemment de ce que ne l'a fait l'autorité d'exécution. Ainsi, dans la mesure où la demande a pu être exécutée et où la recourante ne s’est pas trouvée entravée dans ses droits de défense, ce grief, mal fondé, doit être rejeté.</w:t>
      </w:r>
    </w:p>
    <w:p>
      <w:r>
        <w:t>2.4</w:t>
      </w:r>
    </w:p>
    <w:p>
      <w:r>
        <w:t>2.4.1 La recourante se plaint ensuite du fait qu’elle n’a eu qu’un accès caviardé à la note établie par le MPC à l’occasion de la présence des fonctionnaires étrangers en Suisse le 6 juillet 2021. Elle soutient que la procédure d’entraide en devient secrète. Elle estime que l’anonymisation aurait dû être faite de telle manière qu’elle aurait dû pouvoir identifier si les informations scellées la concernaient elle ou un tiers.</w:t>
      </w:r>
    </w:p>
    <w:p>
      <w:r>
        <w:t>2.4.2 La recourante ne peut être suivie. Les informations qui ne lui ont pas été divulguées concernaient des tiers (act. 1.7 p. 2). Or, de jurisprudence constante, seuls les éléments la visant directement peuvent lui être accessibles (supra consid. 2.2.2). Elle ne prétend par ailleurs pas n’avoir pas saisi la portée de la demande d’entraide et des actes y relatifs d’exécution. Cela suffit à rejeter cet argument.</w:t>
      </w:r>
    </w:p>
    <w:p>
      <w:r>
        <w:t>- 8 -</w:t>
      </w:r>
    </w:p>
    <w:p>
      <w:r>
        <w:t>3. Ensuite, selon la recourante, le MPC aurait violé l’art. 65a al. 3 EIMP dans la mesure où le 6 juillet 2021, il aurait permis aux représentants étrangers d’avoir accès à tous les documents concernés alors qu’elle-même n’avait pas encore été informée de la procédure d’entraide et du blocage de ses comptes. L’accès aux documents par l’autorité étrangère n’aurait dû être autorisé qu’après que l’autorité d’exécution aurait statué sur l’admissibilité et la portée de l’entraide. La demande d’entraide devrait de ce fait être refusée.</w:t>
      </w:r>
    </w:p>
    <w:p>
      <w:r>
        <w:t>3.1 A teneur de l’art. 65a al. 1 EIMP, lorsque l’État requérant le demande en vertu de son propre droit, les personnes qui participent à la procédure à l’étranger peuvent être autorisées à assister aux actes d’entraide et à consulter le dossier. La participation à l'exécution de la demande de fonctionnaires étrangers peut, selon les circonstances, il est vrai comporter le risque d'un dévoilement prématuré d'informations et de documents dont la transmission ne peut être ordonnée que dans le cadre d'une décision de clôture au sens de l'art. 80d EIMP. De jurisprudence constante toutefois, ce risque peut être évité par la fourniture, par l'autorité requérante, de garanties de nature à empêcher l'utilisation prématurée des informations (ATF 128 II 211 consid. 2.1; arrêt du Tribunal pénal fédéral RR.2023.79 du 7 juillet 2023 consid. 4.2). 3.2 C’est à tort que la recourante retient que l’autorité requérante n’aurait dû avoir accès aux informations recueillies qu’après la décision de l’autorité d’exécution sur l’admissibilité et l’ampleur de l’entraide à apporter. Pour des raisons de célérité, la loi permet justement une présence des représentants de l’autorité étrangère avant la décision de clôture. En l’espèce, les autorités néerlandaises sont venues en Suisse en juillet 2021 et ont eu accès au dossier (dossier MPC, onglet 2, correspondance directe avec l’autorité étrangère act. 20210706). A cette occasion, elles ont cependant signé une déclaration de garantie (dossier MPC ibidem) qui permet de s’assurer qu’il n’y aura pas de leur part d’utilisation intempestive des informations obtenues lors de cette visite. Cette garantie figure du reste également dans la demande d’entraide elle-même (act. 1.3 p. 7). Cette façon de faire est en tout point conforme aux exigences jurisprudentielles et aucun grief ne peut être retenu contre l’autorité d’exécution à ce sujet. 3.3 Par ailleurs, dans la demande d’entraide les autorités requérantes ont demandé le maintien de la confidentialité sur les informations recueillies. Elles ont réitéré leur requête en ce sens lors de leur présence en Suisse en juillet 2021 et ont demandé une prolongation du maintien du secret jusqu’en janvier 2022 (dossier MPC, onglet 2, correspondance directe avec l’autorité étrangère act. 20210706 p. 2). Saisie d’une telle demande, l’autorité d’exécution devait s’y conformer. Cela n’empêchait pas pour autant la présence des représentants étrangers durant cette période. En effet, en</w:t>
      </w:r>
    </w:p>
    <w:p>
      <w:r>
        <w:t>- 9 -</w:t>
      </w:r>
    </w:p>
    <w:p>
      <w:r>
        <w:t>général, une telle mesure a principalement pour but d'empêcher que la procédure d'entraide ne compromette le secret de la procédure pénale étrangère (art. 80b al. 2 let. a EIMP). Ce qui importe, c’est que comme en l’espèce, avant qu’une décision de clôture ne soit rendue, un accès au dossier soit octroyé aux parties afin de préserver leur droit d’être entendu (arrêt du Tribunal pénal fédéral RR.2009.294 du 7 octobre 2009 consid. 3.1.2 et références citées). L’argument de la recourante est donc rejeté.</w:t>
      </w:r>
    </w:p>
    <w:p>
      <w:r>
        <w:t>4.</w:t>
      </w:r>
    </w:p>
    <w:p>
      <w:r>
        <w:t>4.1 La recourante souligne par ailleurs que ni elle, ni son ayant droit économique n’ont jamais été impliqués dans l’enquête en Hollande alors que selon la demande d’entraide, celui-ci aurait eu à tout le moins un rôle de complice dans les actes de corruption visés. Elle rappelle encore qu’aucun document ne permet de conclure qu’ils auraient transmis de l’argent à J. ou à un autre membre de la famille de K. Les soupçons la concernant ne sont ainsi selon elle pas fondés. 4.2 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 4.3 In casu, en raison de son enquête pour corruption, faux en écriture et blanchiment d’argent, l’autorité requérante a demandé d'avoir un aperçu notamment des flux de trésorerie qui ont suivi les transferts en Suisse par E. Ltd sur le compte bancaire au nom de la recourante auprès de la banque F. Il s’avère qu’elle serait la récipiendaire de fonds en lien avec de la corruption. Or, son ayant droit économique est H. également mis en cause (pièce MPC 002205_00081). Par ailleurs, la recourante lui a versé plusieurs milliers de centaines de USD (pièces MPC 002205_00312; 002205_00324; 002205_00326; 002205_00328). 4.4 Ainsi, contrairement à ce que soutient la recourante, elle a été expressément désignée comme personne d’intérêt par la demande d’entraide. De plus les informations recueillies à son sujet et concernant ses comptes – lesquels sont en lien direct avec les flux de fonds sous enquête – en font indéniablement des éléments pertinents pour l’autorité requérante. L’argument est donc écarté.</w:t>
      </w:r>
    </w:p>
    <w:p>
      <w:r>
        <w:t>- 10 -</w:t>
      </w:r>
    </w:p>
    <w:p>
      <w:r>
        <w:rPr>
          <w:b/>
        </w:rPr>
        <w:t>E. 5</w:t>
      </w:r>
    </w:p>
    <w:p>
      <w:r>
        <w:t>septembre 2014 consid. 5.2;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rPr>
          <w:b/>
        </w:rPr>
        <w:t>E. 5.1.1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133 IV 76 consid. 2.2; 126 II 495 consid. 5e/aa; 118 Ib 111 consid. 5b; 107 Ib 264 consid. 3a; arrêts du Tribunal pénal fédéral RR.2017.147 du 5 octobre 2017 consid. 3.1.1; RR.2014.75-76 du</w:t>
      </w:r>
    </w:p>
    <w:p>
      <w:r>
        <w:rPr>
          <w:b/>
        </w:rPr>
        <w:t>E. 5.1.2</w:t>
      </w:r>
    </w:p>
    <w:p>
      <w:r>
        <w:t>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(ATF 130 II 329 consid. 5.1; 129 II 97 consid. 3; arrêts du Tribunal fédéral 1C_126/2014 du 16 mai 2014 consid. 4.4; 1A.231/2003 du</w:t>
      </w:r>
    </w:p>
    <w:p>
      <w:r>
        <w:rPr>
          <w:b/>
        </w:rPr>
        <w:t>E. 5.2</w:t>
      </w:r>
    </w:p>
    <w:p>
      <w:r>
        <w:t>Tels qu’exposés dans la requête, les faits permettent effectivement de soupçonner que de fausses indications ont été données et des contrats fictifs passés afin de cacher l’arrière-plan économique réel des versements intervenus. Il paraît crédible, notamment au regard des réticences de la société C. de dévoiler qui est le bénéficiaire final du projet, que les paiements versés pourraient, en réalité, avoir été destinés à corrompre un fonctionnaire public dans le pays Y., afin d’obtenir un marché public dans le cadre du projet « D. ». Les différentes transactions intervenues entre A. Ltd et le compte de son ayant droit économique pourraient effectivement être constitutives de blanchiment d’argent, dès lors que les sommes en jeu sont conséquentes et que les transferts de fonds ont été opérés sans raison apparente, puisque réalisés entre des relations détenues par le même ayant droit économique. En outre, des éléments démontrent que les fonds transférés par A. Ltd sur</w:t>
      </w:r>
    </w:p>
    <w:p>
      <w:r>
        <w:t>- 12 -</w:t>
      </w:r>
    </w:p>
    <w:p>
      <w:r>
        <w:t>le compte de ce dernier pourraient provenir de E. Ltd, elle-même soupçonnée d’être récipiendaire des fonds corruptifs et dont H. est également l’ayant droit économique. Cela suffit pour constater que l’ensemble des circonstances entourant ces structures et transactions permettent de retenir l’existence de suspicions de blanchiment d’argent, même en l’absence de description précise du crime sous-jacent de corruption.</w:t>
      </w:r>
    </w:p>
    <w:p>
      <w:r>
        <w:rPr>
          <w:b/>
        </w:rPr>
        <w:t>E. 5.3</w:t>
      </w:r>
    </w:p>
    <w:p>
      <w:r>
        <w:t>L’argument est écarté.</w:t>
      </w:r>
    </w:p>
    <w:p>
      <w:r>
        <w:rPr>
          <w:b/>
        </w:rPr>
        <w:t>E. 6</w:t>
      </w:r>
    </w:p>
    <w:p>
      <w:r>
        <w:t>La recourante se plaint ensuite de ce que le MPC a admis une demande d’entraide contenant des contradictions et des erreurs et qui s’apparente plus selon elle à une « fishing expedition ». Elle fait valoir en particulier que toutes les transactions considérées comme suspectes étaient économiquement justifiées et juridiquement étayées. Elle précise ainsi que son ayant droit économique est actif dans l’immobilier au niveau international ce qui implique notamment des contrats de prêts entre différentes sociétés et tous les flux de fonds y relatifs.</w:t>
      </w:r>
    </w:p>
    <w:p>
      <w:r>
        <w:rPr>
          <w:b/>
        </w:rPr>
        <w:t>E. 6.1</w:t>
      </w:r>
    </w:p>
    <w:p>
      <w:r>
        <w:t>Ce grief se confond avec la violation du principe de la proportionnalité.</w:t>
      </w:r>
    </w:p>
    <w:p>
      <w:r>
        <w:rPr>
          <w:b/>
        </w:rPr>
        <w:t>E. 6.1.1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6.1.2</w:t>
      </w:r>
    </w:p>
    <w:p>
      <w:r>
        <w:t>L'examen de l'autorité d'entraide est régi par le principe de l'« utilité</w:t>
      </w:r>
    </w:p>
    <w:p>
      <w:r>
        <w:t>- 13 -</w:t>
      </w:r>
    </w:p>
    <w:p>
      <w:r>
        <w:t>potentielle »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 citées; ZIMMERMANN, op. cit., no 723, p. 798 ss).</w:t>
      </w:r>
    </w:p>
    <w:p>
      <w:r>
        <w:rPr>
          <w:b/>
        </w:rPr>
        <w:t>E. 6.1.3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w:t>
      </w:r>
    </w:p>
    <w:p>
      <w:r>
        <w:rPr>
          <w:b/>
        </w:rPr>
        <w:t>E. 6.1.4</w:t>
      </w:r>
    </w:p>
    <w:p>
      <w:r>
        <w:t>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w:t>
      </w:r>
    </w:p>
    <w:p>
      <w:r>
        <w:t>- 14 -</w:t>
      </w:r>
    </w:p>
    <w:p>
      <w:r>
        <w:t>26 janvier 2007 consid. 2.2; 1A.75/2006 du 20 juin 2006 consid. 3.2; 1A.79/2005 du 27 avril 2005 consid. 4.2; 1A.59/2005 du 26 avril 2005 consid. 6.2).</w:t>
      </w:r>
    </w:p>
    <w:p>
      <w:r>
        <w:rPr>
          <w:b/>
        </w:rPr>
        <w:t>E. 6.2.1</w:t>
      </w:r>
    </w:p>
    <w:p>
      <w:r>
        <w:t>La demande d’entraide vise en l’occurrence à obtenir des informations en lien avec les comptes bancaires de A. Ltd mais également de déterminer qui peut être le bénéficiaire final des fonds versés par B. B.V. Partant elle requiert d’avoir un aperçu des flux de trésorerie qui ont suivi les transferts effectués par E. Ltd (act. 1.3). Le compte objet de la présente décision a été ouvert par H. le 13 juin 2013 (pièce MPC 002205_00001ss); il en est l’ayant droit économique (pièce MPC 002205_00081). Lui seul bénéficie d’un pouvoir de signature sur la relation concernée (pièce MPC 002205_00006). Il ressort des documents bancaires (KYC) que dite relation devait recevoir quelques CHF 12 Mio par le biais de L. et de E. Ltd, sociétés dont H. est également l’ayant droit économique (pièce MPC 002205_00101). En ce qui concerne l’origine des fonds sur la relation objet de la décision de clôture, il est indiqué que le recourant détiendrait l’intégralité des actions des sociétés M. et N. lesquelles seraient financées par la société L. (pièce MPC 002205_00101), Il ressort de la documentation bancaire qu’un contrat de « loan agreement » a été conclu, le 20 juin 2013, entre A. Ltd et E. Ltd, deux sociétés dont H. est l’unique ayant droit économique. Selon ledit contrat, E. Ltd s’engage à prêter à un taux d’intérêt de 1% par an USD 20 Mio à A. Ltd (pièces MPC 002205_00138ss). Par ailleurs, un contrat de « financial support agreement » a été conclu le 20 juillet 2013, entre A. Ltd et H. En vertu dudit contrat, ce dernier s’est engagé à fournir un soutien financier à sa société à hauteur de USD 10 Mio, à un taux d’intérêt de 0% (pièce MPC 002205_00132ss). Le 15 décembre 2016, un «loan agreement» a été conclu entre A. Ltd et O. Inc et dont l’instruction a permis d’établir que H. en est également I’ayant droit économique. Selon ledit contrat, A. Ltd s’est engagée à prêter, à un taux d’intérêt de 1% par an, USD 15 Mio à O. Inc, afin de permettre à cette dernière « to finance the working capital of the company for further investments and constructions » (pièces MPC 002205_00143ss). De plus, le 1er juillet 2017, un « loan agreement » a été conclu entre A. Ltd et la société P., avec siège dans le pays Z. (pièces MPC 002205_00154). Le prêt concédé est de USD 10 Mio avec intérêts à 1% par an, afin que de permettre à la société P. « to finance the working capital of the company for further lnvestments and constructions ». Le 27 février 2017, un autre « loan agreement» a été conclu entre A. Ltd et la société Q. (MPC 002205_00150). Ce prêt concerne quant à lui un montant de USD 1 Mio à un intérêt de 1% par an (pièce MPC 002205_00151). Un contrat de « loan agreement » a été</w:t>
      </w:r>
    </w:p>
    <w:p>
      <w:r>
        <w:t>- 15 -</w:t>
      </w:r>
    </w:p>
    <w:p>
      <w:r>
        <w:t>également conclu le 30 juin 2019, entre A. Ltd et E. Ltd (pièce MPC 002205_00118). Selon ledit contrat, A. Ltd s’engage à prêter à un taux d’intérêt de 0% USD 12 Mio à E. Ltd (pièces MPC 002205_00118ss). Lesdits fonds auraient pour objectif de permettre à E. Ltd « to finance the working capital of the company for further investments and projects » (pièce MPC 002205_00118). Par ailleurs, la documentation relative au compte objet de la présente décision révèle que celui-ci a reçu entre les 25 mars 2014 et 27 avril 2017, 12 versements pour un montant total de USD 15’144'000.-- depuis la relation détenue par E. Ltd (pièces MPC 002205_00298; 002205_00299; 002205_00303; 002205_00304; 002205_00306; 002205_00308; 002205_00309; 002205_00311). Le motif des versements indique « transfer within same project », « funds transfer within one holding », ainsi que « transfer within same holding ». La recourante invoque différents motifs à ces transferts. Ces développements relèvent toutefois de l'argumentation à décharge sur le fond de la procédure étrangère, laquelle, de jurisprudence constante, n'a pas sa place dans le cadre de la procédure d'entraide (ATF 132 II 81 consid. 2.1 et les arrêts cités; arrêt du Tribunal pénal fédéral RR.2011.82 du 21 juin 2011 consid. 3.3.2/c; RR.2007.183 du 21 février 2008 consid. 3; RR.2007.118 du 30 octobre 2007 consid. 5.1). Il n'appartient en effet pas à la Cour de céans dans le cadre de la procédure d'entraide, de se substituer au juge du fond de l'Etat requérant et apprécier si les accusations proférées sont fondées ou non. Il faudra donc que la recourante les invoque devant le juge étranger. De plus, durant la période allant de 2016 à 2021 des virements importants ont eu lieu entre la relation de A. Ltd et celles de H., O. Inc, la société Q. et la société P. Ces flux de fonds sont intervenus à des intervalles très rapprochés pour des montants conséquents. Ainsi en 2016, E, Ltd a reçu USD 10 Mio et le 20 décembre de la même année a versé USD 7.8 Mio à A. Ltd (pièce MPC 002205_00309).</w:t>
      </w:r>
    </w:p>
    <w:p>
      <w:r>
        <w:rPr>
          <w:b/>
        </w:rPr>
        <w:t>E. 6.2.2</w:t>
      </w:r>
    </w:p>
    <w:p>
      <w:r>
        <w:t>N’en déplaise à la recourante ces divers éléments suffisent amplement à conclure que l’intégralité des documents concernés (y compris le KYC ou les documents d’ouverture des comptes) sont pertinents pour l’enquête de l’autorité requérante. Ils permettront à cette dernière d’éclaircir l’ensemble des circonstances entourant les versements effectués par E. Ltd ainsi que leur provenance éventuelle, leur destination finale et l’arrière-plan économique les concernant. L’autorité requérante pourra ainsi également d’obtenir une vision plus complète du schéma potentiel du blanchiment d’argent mis en place. Il faut aussi ajouter que même si la recourante pourrait ne pas être prévenue dans l’enquête hollandaise, il n’en demeure pas moins qu’elle est citée dans la demande d’entraide. En outre, la documentation en</w:t>
      </w:r>
    </w:p>
    <w:p>
      <w:r>
        <w:t>- 16 -</w:t>
      </w:r>
    </w:p>
    <w:p>
      <w:r>
        <w:t>question a été expressément requise comme étant d’intérêt par les représentants de l’autorité étrangère lors de leur venue en Suisse. Enfin, compte tenu du laps de temps durant lequel les paiements suspects ont eu lieu, entre 2014 et 2021, la documentation querellée qui porte sur la période allant du 1er janvier 2014 au 16 mars 2021 rentre tout à fait dans une fenêtre temporelle légitime au regard de l’utilité potentielle.</w:t>
      </w:r>
    </w:p>
    <w:p>
      <w:r>
        <w:rPr>
          <w:b/>
        </w:rPr>
        <w:t>E. 6.3</w:t>
      </w:r>
    </w:p>
    <w:p>
      <w:r>
        <w:t>Partant, le grief de la recourante est écarté.</w:t>
      </w:r>
    </w:p>
    <w:p>
      <w:r>
        <w:rPr>
          <w:b/>
        </w:rPr>
        <w:t>E. 7</w:t>
      </w:r>
    </w:p>
    <w:p>
      <w:r>
        <w:t>Ensuite, sous le chapeau d’une violation du principe de la proportionnalité, la recourante invoque le risque que divers documents devant être transmis pourraient se retrouver au pays Y. entre les mains de personnes voulant les utiliser pour faire pression sur elle ainsi que sur son ayant droit économique et les menacer.</w:t>
      </w:r>
    </w:p>
    <w:p>
      <w:r>
        <w:rPr>
          <w:b/>
        </w:rPr>
        <w:t>E. 7.1</w:t>
      </w:r>
    </w:p>
    <w:p>
      <w:r>
        <w:t>Au-delà du fait qu’ainsi qu’évoqué ci-dessus, lesdits documents sont pertinents pour l’autorité requérante, par ce grief, la recourante sous-entend implicitement que les autorités hollandaises pourraient ne pas respecter le principe de la spécialité. Il y a lieu de relever à ce sujet que selon la jurisprudence, le principe de la spécialité (art. 67 al. 1 EIMP), est présumé en faveur des Etats liés à la Suisse par une convention ou un traité. En pareille hypothèse, l'Etat requis doit rendre l'Etat requérant attentif au respect du principe de la spécialité, mais il n'a pas à lui demander de garanties préalables (ATF 115 Ib 373 consid. 8; 107 Ib 264 consid. 4b et les références citées; arrêt du Tribunal fédéral 1A.76/2000 du 17 avril 2000 consid. 3c; arrêt du Tribunal pénal fédéral RR.2009.358-359 du 15 avril 2010 consid. 7.1).</w:t>
      </w:r>
    </w:p>
    <w:p>
      <w:r>
        <w:rPr>
          <w:b/>
        </w:rPr>
        <w:t>E. 7.2</w:t>
      </w:r>
    </w:p>
    <w:p>
      <w:r>
        <w:t>Or, en l’occurrence, l’autorité d’exécution a expressément rappelé la réserve de la spécialité dans la décision attaquée (act. 1.1). Les craintes que la recourante formule quant au fait que les données transmises se retrouveront au pays Y. relèvent bien davantage du procès d'intention et rien ne permet de douter que la réserve de la spécialité sera respectée par l’Etat requérant. En outre, ainsi que le souligne le MPC, l’hypothèse – non avérée en l’espèce – que les autorités requérantes puissent éventuellement utiliser les informations transmises pour motiver une demande d’entraide au pays Y. est en tout état de cause compatible avec le principe de la spécialité (arrêt du Tribunal pénal fédéral RR.2011.93 du 28 juin 2011 consid. 3.2).</w:t>
      </w:r>
    </w:p>
    <w:p>
      <w:r>
        <w:rPr>
          <w:b/>
        </w:rPr>
        <w:t>E. 7.3</w:t>
      </w:r>
    </w:p>
    <w:p>
      <w:r>
        <w:t>Mal fondé, ce grief est écarté.</w:t>
      </w:r>
    </w:p>
    <w:p>
      <w:r>
        <w:rPr>
          <w:b/>
        </w:rPr>
        <w:t>E. 8</w:t>
      </w:r>
    </w:p>
    <w:p>
      <w:r>
        <w:t>Enfin, la recourante requiert un caviardage plus extensif que celui opéré par le MPC (act. 1 nos 58 ss). Elle sollicite en effet l’anonymisation des</w:t>
      </w:r>
    </w:p>
    <w:p>
      <w:r>
        <w:t>- 17 -</w:t>
      </w:r>
    </w:p>
    <w:p>
      <w:r>
        <w:t>informations personnelles qui figurent dans le document KYC notamment quant à qui détient les sociétés M. ou N. ainsi que les flux en résultant. Elle soutient qu’il doit en être de même des indications relatives au parcours professionnel de son ayant droit économique ainsi que de tous les chiffres, montants de la fortune et revenus figurant dans les documents à transmettre. Selon elle, tel devrait en outre également être le cas de tous les contrats qui apparaissent dans les documents saisis dans la mesure où leur divulgation pourrait entraîner des mesures de rétorsion pour elle et son ayant droit économique au pays Y.</w:t>
      </w:r>
    </w:p>
    <w:p>
      <w:r>
        <w:rPr>
          <w:b/>
        </w:rPr>
        <w:t>E. 8.1</w:t>
      </w:r>
    </w:p>
    <w:p>
      <w:r>
        <w:t>La recourante ne peut être suivie. De fait, il lui appartenait de démontrer pour ces différents aspects, outre l'absence de lien vraisemblable avec l'infraction proprement dite, l'existence d'un intérêt spécifique à éviter une divulgation, qui l'emporterait sur l'intérêt de l'autorité requérante à pouvoir se livrer à un examen d'ensemble de la gestion du compte (arrêt du Tribunal fédéral du 26 janvier 2007 consid. 2). Outre ses objections de principe à la transmission, à cause du risque hypothétique que ces données se retrouvent au pays Y., la recourante ne fournit pas une telle argumentation de détail, de sorte que son grief doit être écarté. Certes, on peut comprendre qu’elle ne souhaite pas que les montants sur ses comptes bancaires fassent partie des indications dévoilées. Toutefois, elle échoue à démontrer en quoi ces informations ne seraient pas pertinentes pour l’autorité requérante, laquelle est en droit d’obtenir un maximum d’informations lui permettant de mieux appréhender le fonctionnement de la recourante ainsi que celui des différentes sociétés avec lesquelles elle était en relation, y compris des cheminements des flux financiers entre les différents comptes de ces dernières. En outre, l’argument avancé par la recourante que dites informations pourraient être utilisées à mauvais escient est trop général et hypothétique pour convaincre. Ce faisant, elle ne permet pas de procéder à la pesée des intérêts. Il n’est dès lors pas possible à la Cour de céans d’apprécier l’opportunité d’un tel caviardage.</w:t>
      </w:r>
    </w:p>
    <w:p>
      <w:r>
        <w:rPr>
          <w:b/>
        </w:rPr>
        <w:t>E. 8.2</w:t>
      </w:r>
    </w:p>
    <w:p>
      <w:r>
        <w:t>Il s’ensuit que, mal fondé, ce grief doit être rejeté.</w:t>
      </w:r>
    </w:p>
    <w:p>
      <w:r>
        <w:rPr>
          <w:b/>
        </w:rPr>
        <w:t>E. 9</w:t>
      </w:r>
    </w:p>
    <w:p>
      <w:r>
        <w:t>Au vu des considérants qui précèdent, le recours est rejeté.</w:t>
      </w:r>
    </w:p>
    <w:p>
      <w:r>
        <w:rPr>
          <w:b/>
        </w:rPr>
        <w:t>E. 10</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w:t>
      </w:r>
    </w:p>
    <w:p>
      <w:r>
        <w:t>- 18 -</w:t>
      </w:r>
    </w:p>
    <w:p>
      <w:r>
        <w:t>du règlement du Tribunal pénal fédéral du 31 août 2010 sur les frais, émoluments, dépens et indemnités de la procédure pénale fédérale [RFPPF; RS 173.713.162] et art. 63 al. 5 PA). Compte tenu de l'issue du litige, les frais du présent arrêt, fixés à CHF 5'000.--, réputés couverts par l'avance de frais acquittée, seront mis à la charge de la recourante.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