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RR.2023.82 vom 24. Oktober 2023</w:t>
      </w:r>
    </w:p>
    <w:p>
      <w:r>
        <w:t>Bundesstrafgericht, 2023-10-24, DE</w:t>
      </w:r>
    </w:p>
    <w:p>
      <w:r>
        <w:rPr>
          <w:b/>
        </w:rPr>
        <w:t xml:space="preserve">Quelle: </w:t>
      </w:r>
      <w:r>
        <w:t>https://mcp.opencaselaw.ch/entscheid/bstger_RR.2023.82</w:t>
      </w:r>
    </w:p>
    <w:p>
      <w:r>
        <w:t>FR: TPF RR.2023.82 du 24 octobre 2023</w:t>
      </w:r>
    </w:p>
    <w:p>
      <w:r>
        <w:t>IT: TPF RR.2023.82 del 24 ottobre 2023</w:t>
      </w:r>
    </w:p>
    <w:p>
      <w:pPr>
        <w:pStyle w:val="Heading2"/>
      </w:pPr>
      <w:r>
        <w:t>Regeste</w:t>
      </w:r>
    </w:p>
    <w:p>
      <w:r>
        <w:t>Kostengutsprache für anwaltliche Unterstützung; Rückzug der Beschwerde</w:t>
      </w:r>
    </w:p>
    <w:p>
      <w:pPr>
        <w:pStyle w:val="Heading2"/>
      </w:pPr>
      <w:r>
        <w:t>Volltext</w:t>
      </w:r>
    </w:p>
    <w:p>
      <w:r>
        <w:t>Entscheid vom 24. Oktober 2023 Beschwerdekammer Besetzung</w:t>
      </w:r>
    </w:p>
    <w:p>
      <w:r>
        <w:t>Bundesstrafrichter Roy Garré, Vorsitz, Miriam Forni und Patrick Robert-Nicoud, Gerichtsschreiberin Chantal Blättler Grivet Fojaja</w:t>
      </w:r>
    </w:p>
    <w:p>
      <w:r>
        <w:t>Parteien</w:t>
      </w:r>
    </w:p>
    <w:p>
      <w:r>
        <w:t>A., vertreten durch Rechtsanwalt Max Imfeld, Beschwerdeführer</w:t>
      </w:r>
    </w:p>
    <w:p>
      <w:r>
        <w:t>gegen</w:t>
      </w:r>
    </w:p>
    <w:p>
      <w:r>
        <w:t>VERWALTUNGSKOMMISSION DES BUNDESVER- WALTUNGSGERICHTS, Beschwerdegegnerin</w:t>
      </w:r>
    </w:p>
    <w:p>
      <w:r>
        <w:t>Gegenstand</w:t>
      </w:r>
    </w:p>
    <w:p>
      <w:r>
        <w:t>Kostengutsprache für anwaltliche Unterstützung; Rück- zug der Beschwerde</w:t>
      </w:r>
    </w:p>
    <w:p>
      <w:r>
        <w:t>B u n d e s s t r a f g e r i c h t T r i b u n a l p é n a l f é d é r a l T r i b u n a l e p e n a l e f e d e r a l e T r i b u n a l p e n a l f e d e r a l</w:t>
      </w:r>
    </w:p>
    <w:p>
      <w:r>
        <w:t>Geschäftsnummer: RR.2023.82</w:t>
      </w:r>
    </w:p>
    <w:p>
      <w:r>
        <w:t>- 2 -</w:t>
      </w:r>
    </w:p>
    <w:p>
      <w:r>
        <w:t>Die Beschwerdekammer hält fest, dass:</w:t>
      </w:r>
    </w:p>
    <w:p>
      <w:r>
        <w:t>- im Rahmen des Aufsichtsverfahrens 12T_6/2020 gegen A. (nachfolgend «A.» oder «Beschwerdeführer») – ordentlicher Richter […] des Bundesver- waltungsgerichts – die Verwaltungskommission des Bundesgerichts am 17. März 2021 an die Gerichtskommission der Vereinigten Bundesversamm- lung eine Meldung betreffend eine Spruchkörperbildung in der Abteilung […] des Bundesverwaltungsgerichts erstattete (RR.2021.116, act. 1.8);</w:t>
      </w:r>
    </w:p>
    <w:p>
      <w:r>
        <w:t>- dieser Meldung eine entsprechende Mitteilung der Verwaltungskommission des Bundesverwaltungsgerichts (nachfolgend «VK Bundesverwaltungsge- richt») vorangegangen war (RR.2021.116, act.1.4 und 1.8);</w:t>
      </w:r>
    </w:p>
    <w:p>
      <w:r>
        <w:t>- A. mit Schreiben vom 29. April 2021 bei der VK Bundesverwaltungsgericht ein Gesuch um Kostengutsprache stellte für anwaltliche Unterstützung bzw. den Beizug eines Rechtsanwalts im Aufsichtsverfahren 12T_6/2020 vor dem Bundesgericht, im Verfahren vor der Gerichtskommission sowie in einem all- fälligen Verfahren vor der Vereinigten Bundesversammlung und gegenüber Angriffen Dritter mit Bezug auf die erhobenen Vorwürfe einer Amtspflichtver- letzung (RR.2021.116, act. 1.15);</w:t>
      </w:r>
    </w:p>
    <w:p>
      <w:r>
        <w:t>- die VK Bundesverwaltungsgericht das Gesuch von A. um Kostengutsprache für anwaltliche Unterstützung mit Verfügung vom 18. Mai 2021 abwies (RR.2021.116, act. 1.2);</w:t>
      </w:r>
    </w:p>
    <w:p>
      <w:r>
        <w:t>- A. dagegen bei der Beschwerdekammer des Bundesstrafgerichts mit Ein- gabe vom 18. Juni 2021 Beschwerde erhob und im Wesentlichen die Aufhe- bung der Verfügung der VK Bundesverwaltungsgericht vom 18. Mai 2021 sowie die Gutheissung seines Gesuchs um Kostengutsprache vom 28. Ap- ril 2021 beantragte (RR.2021.116, act. 1);</w:t>
      </w:r>
    </w:p>
    <w:p>
      <w:r>
        <w:t>- das Bundesstrafgericht mit Entscheid RR.2021.116 vom 14. Septem- ber 2022 die Beschwerde abwies;</w:t>
      </w:r>
    </w:p>
    <w:p>
      <w:r>
        <w:t>- das Bundesgericht die dagegen von A. erhobene Beschwerde vom 12. Ok- tober 2022 mit Urteil 8C_602/2022 vom 25. Mai 2023 guthiess und den Ent- scheid des Bundesstrafgerichts RR.2021.116 vom 14. September 2022 auf- hob und die Sache zu neuer Entscheidung an die Beschwerdekammer des Bundesstrafgerichts zurückwies;</w:t>
      </w:r>
    </w:p>
    <w:p>
      <w:r>
        <w:t>- 3 -</w:t>
      </w:r>
    </w:p>
    <w:p>
      <w:r>
        <w:t>- die Beschwerdekammer unter der Verfahrensnummer RR.2023.82 ein neues Verfahren eröffnete und den Parteien mit Schreiben vom 19. Juni 2023 mitteilte, dass sie das Verfahren als spruchreif erachte (act. 2);</w:t>
      </w:r>
    </w:p>
    <w:p>
      <w:r>
        <w:t>- A. durch seinen Rechtsvertreter der Beschwerdekammer mit Schreiben vom 20. Oktober 2023 mitteilte, dass er die am 18. Juni 2021 eingereichte Be- schwerde zurückziehe; er darum ersuchte, wenn möglich keine Kosten zu erheben (act. 4).</w:t>
      </w:r>
    </w:p>
    <w:p>
      <w:r>
        <w:t>Die Beschwerdekammer zieht in Erwägung, dass:</w:t>
      </w:r>
    </w:p>
    <w:p>
      <w:r>
        <w:t>- das Beschwerdeverfahrens zufolge Rückzugs der Beschwerde als erledigt abzuschreiben ist;</w:t>
      </w:r>
    </w:p>
    <w:p>
      <w:r>
        <w:t>- die beschwerdeführende Partei, die ihre Beschwerde zurückzieht, grund- sätzlich als unterliegende Partei zu gelten hat;</w:t>
      </w:r>
    </w:p>
    <w:p>
      <w:r>
        <w:t>- gemäss Art. 34 Abs. 2 des Bundespersonalgesetzes vom 24. März 2000 (BPG; SR 172.220.1) das Beschwerdeverfahren und damit dasjenige vor dem Bundesstrafgericht kostenlos ist, ausser bei Mutwilligkeit; letzteres nicht vorliegt, weshalb keine Verfahrenskosten zu erheben sind.</w:t>
      </w:r>
    </w:p>
    <w:p>
      <w:r>
        <w:t>- 4 -</w:t>
      </w:r>
    </w:p>
    <w:p>
      <w:r>
        <w:t>Demnach erkennt die Beschwerdekammer:</w:t>
      </w:r>
    </w:p>
    <w:p>
      <w:r>
        <w:t>1. Das Verfahren RR.2023.82 wird zufolge Rückzugs der Beschwerde als erle- digt abgeschrieben.</w:t>
      </w:r>
    </w:p>
    <w:p>
      <w:r>
        <w:t>2. Es werden keine Verfahrenskosten erhoben.</w:t>
      </w:r>
    </w:p>
    <w:p>
      <w:r>
        <w:t>Bellinzona, 24. Oktober 2023</w:t>
      </w:r>
    </w:p>
    <w:p>
      <w:r>
        <w:t>Im Namen der Beschwerdekammer des Bundesstrafgerichts</w:t>
      </w:r>
    </w:p>
    <w:p>
      <w:r>
        <w:t>Der Präsident: Die Gerichtsschreiberin:</w:t>
      </w:r>
    </w:p>
    <w:p>
      <w:r>
        <w:t>Zustellung an</w:t>
      </w:r>
    </w:p>
    <w:p>
      <w:r>
        <w:t>- Rechtsanwalt Max Imfeld - Verwaltungskommission des Bundesverwaltungsgerichts</w:t>
      </w:r>
    </w:p>
    <w:p>
      <w:r>
        <w:t>- 5 -</w:t>
      </w:r>
    </w:p>
    <w:p>
      <w:r>
        <w:t>Rechtsmittelbelehrung</w:t>
      </w:r>
    </w:p>
    <w:p>
      <w:r>
        <w:t>Gegen Entscheide auf dem Gebiet der öffentlich-rechtlichen Arbeitsverhältnisse kann innert 30 Ta- gen nach Eröffnung der vollständigen Ausfertigung beim Bundesgericht Beschwerde eingereicht wer- den (Art. 100 Abs. 1 BGG). Eingaben müssen spätestens am letzten Tag der Frist beim Bundesge- richt eingereicht oder zu dessen Handen der Schweizerischen Post oder einer Schweizerischen dip- 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Die Beschwerde ist nur zulässig, wenn es um eine vermögensrechtliche Angelegenheit geht, bei welcher der Streitwert mindestens CHF 15'000 beträgt oder bei der sich eine Rechtsfrage von grund- sätzlicher Bedeutung stellt (Art. 85 Abs. 1 lit. b und Abs. 2 BGG). Bei einer nicht vermögensrechtli- chen Angelegenheit ist die Beschwerde nur zulässig, wenn sie die Gleichstellung der Geschlechter betrifft (vgl. Art. 83 lit. g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