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RR.2023.69 vom 13. Juni 2023</w:t>
      </w:r>
    </w:p>
    <w:p>
      <w:r>
        <w:t>Bundesstrafgericht, 2023-06-13, DE</w:t>
      </w:r>
    </w:p>
    <w:p>
      <w:r>
        <w:rPr>
          <w:b/>
        </w:rPr>
        <w:t xml:space="preserve">Quelle: </w:t>
      </w:r>
      <w:r>
        <w:t>https://mcp.opencaselaw.ch/entscheid/bstger_RR.2023.69</w:t>
      </w:r>
    </w:p>
    <w:p>
      <w:r>
        <w:t>FR: TPF RR.2023.69 du 13 juin 2023</w:t>
      </w:r>
    </w:p>
    <w:p>
      <w:r>
        <w:t>IT: TPF RR.2023.69 del 13 giugno 2023</w:t>
      </w:r>
    </w:p>
    <w:p>
      <w:pPr>
        <w:pStyle w:val="Heading2"/>
      </w:pPr>
      <w:r>
        <w:t>Regeste</w:t>
      </w:r>
    </w:p>
    <w:p>
      <w:r>
        <w:t>Internationale Rechtshilfe in Strafsachen an die Ukraine; Zwischenverfügung (Art. 80e Abs. 2 IRSG)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Mai 2009 E. 3; RR.2009.110 vom 7. Mai 2009);</w:t>
      </w:r>
    </w:p>
    <w:p>
      <w:r>
        <w:t>- es sich im Übrigen beim Vorbringen, dass die Beschwerdeführerin nebst den eingangs erwähnten (gesperrten) Kontobeziehungen über keine weiteren, nicht gesperrten Konten verfüge (act. 1, Rz. 6 f.; act. 1.2) lediglich um eine nicht glaubhaft gemachte Behauptung handelt;</w:t>
      </w:r>
    </w:p>
    <w:p>
      <w:r>
        <w:t>- hinsichtlich der angeblich bis 19. Mai 2023 bereits aufgelaufenen Anwalts- kosten in der Höhe von Fr. 37'500.– (siehe act. 1, Rz. 39) der entsprechen- den Leistungsabrechnung (act. 1.13) nicht entnommen werden kann, um was für Leistungen es sich dabei genau handeln soll und ob diese tatsächlich in Zusammenhang mit dem vorliegenden Rechtshilfeverfahren erbracht wor- den sind;</w:t>
      </w:r>
    </w:p>
    <w:p>
      <w:r>
        <w:t>- diese Leistungen zudem nicht ausschliesslich, aber zu einem überwiegen- den Teil nach den eingangs erwähnten Kontosperren erbracht worden sind, weshalb nicht damit zu rechnen ist, dass die Beschwerdeführerin – zumin- dest während der aufrechterhaltenen Beschlagnahme – dafür betrieben wird (siehe hierzu den Entscheid des Bundesstrafgerichts RR.2017.115 vom 18. Mai 2017 E. 2.4.1);</w:t>
      </w:r>
    </w:p>
    <w:p>
      <w:r>
        <w:t>- 5 -</w:t>
      </w:r>
    </w:p>
    <w:p>
      <w:r>
        <w:t>- die Beschwerdeführerin nach dem Gesagten nicht hinreichend dartut und belegt, die angefochtene Nichtfreigabe eines Teils ihrer gesperrten Vermö- genswerte würde zu ihren Lasten einen unmittelbaren und nicht wieder gut- zumachenden Nachteil im Sinne von Art. 80e Abs. 2 lit. a IRSG bewirken;</w:t>
      </w:r>
    </w:p>
    <w:p>
      <w:r>
        <w:t>- sich die Beschwerde nach dem Gesagten als offensichtlich unzulässig er- weist, weshalb auf diese ohne Durchführung eines Schriftenwechsels nicht einzutreten ist (Art. 57 Abs. 1 VwVG e contrario);</w:t>
      </w:r>
    </w:p>
    <w:p>
      <w:r>
        <w:t>- die Gerichtskosten bei diesem Ausgang des Verfahrens der unterliegenden Beschwerdeführerin aufzuerlegen sind (Art. 63 Abs. 1 VwVG);</w:t>
      </w:r>
    </w:p>
    <w:p>
      <w:r>
        <w:t>- die Gerichtsgebühr auf Fr. 500.– festzusetzen ist (Art. 63 Abs. 5 VwVG i.V.m. Art. 73 StBOG sowie Art. 5 und 8 Abs. 3 lit. b des Reglements des Bun- desstrafgerichts vom 31. August 2010 über die Kosten, Gebühren und Ent- schädigungen in Bundesstrafverfahren [BStKR; SR 173.713.162]);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