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RR.2023.66 vom 26. September 2023</w:t>
      </w:r>
    </w:p>
    <w:p>
      <w:r>
        <w:t>Bundesstrafgericht, 2023-09-26, IT</w:t>
      </w:r>
    </w:p>
    <w:p>
      <w:r>
        <w:rPr>
          <w:b/>
        </w:rPr>
        <w:t xml:space="preserve">Quelle: </w:t>
      </w:r>
      <w:r>
        <w:t>https://mcp.opencaselaw.ch/entscheid/bstger_RR.2023.66</w:t>
      </w:r>
    </w:p>
    <w:p>
      <w:r>
        <w:t>FR: TPF RR.2023.66 du 26 septembre 2023</w:t>
      </w:r>
    </w:p>
    <w:p>
      <w:r>
        <w:t>IT: TPF RR.2023.66 del 26 settembre 2023</w:t>
      </w:r>
    </w:p>
    <w:p>
      <w:pPr>
        <w:pStyle w:val="Heading2"/>
      </w:pPr>
      <w:r>
        <w:t>Regeste</w:t>
      </w:r>
    </w:p>
    <w:p>
      <w:r>
        <w:t>Assistenza giudiziaria internazionale in materia penale all'Ucraina; sequestro di valori (art. 80e cpv. 2 lett. 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Ucraina e Confedera- zione Svizzera sono anzitutto retti dalla Convenzione europea di assistenza giudiziaria in materia penale del 20 aprile 1959 (CEAG; RS 0.351.1), entrata in vigore il 9 giugno 1998 per l’Ucraina e il 20 marzo 1967 per la Svizzera, e dal Secondo Protocollo addizionale dell'8 novembre 2001 alla Convenzione euro- pea di assistenza giudiziaria in materia penale (PAII CEAG; RS 0.351.12), en- trato in vigore il 1° gennaio 2012 per l’Ucraina ed il 1° febbraio 2005 per la Svizzera. Di rilievo nella fattispecie è anche la Convenzione delle Nazioni Unite contro la corruzione (RS 0.311.56), entrata in vigore il 1° gennaio 2010 per l’Ucraina e il 24 ottobre 2009 per la Svizzera. Alle questioni che il prevalente diritto internazionale contenuto in questi trattati non regola espressamente o implicitamente, come pure quando il diritto nazionale sia più favorevole all'assi- stenza rispetto a quello convenzionale (cosiddetto principio di favore) si applica la legge federale sull'assistenza internazionale in materia penale unitamente alla relativa ordinanza (OAIMP; RS 351.11; v. art. 1 cpv. 1 AIMP; DTF 145 IV 294 consid. 2.1; 142 IV 250 consid. 3; 140 IV 123 consid. 2). È fatto salvo il rispetto dei diritti fondamentali (DTF 145 IV 294 consid. 2.1; 123 II 595 consid. 7c; TPF 2016 65 consid 1.2).</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Il ricorso è stato tempestivamente interposto contro una decisione di sequestro di valori patrimoniali da parte dell'autorità federale d'esecuzione (v. art. 80k</w:t>
      </w:r>
    </w:p>
    <w:p>
      <w:r>
        <w:t>- 4 -</w:t>
      </w:r>
    </w:p>
    <w:p>
      <w:r>
        <w:t>AIMP). Le decisioni incidentali anteriori alla decisione di chiusura possono es- sere impugnate separatamente se causano un pregiudizio immediato e irrepa- rabile mediante il sequestro di beni e valori oppure la presenza di persone che partecipano al processo (art. 80e cpv. 2 AIMP). Intestatario della relazione ban- caria oggetto della decisione impugnata, il ricorrente è legittimato a ricorrere (v. art. 80h lett. b AIMP e art. 9a OAIMP; DTF 118 Ib 547 consid. 1d; TPF 2007 79 consid. 1.6 pag. 82).</w:t>
      </w:r>
    </w:p>
    <w:p>
      <w:r>
        <w:rPr>
          <w:b/>
        </w:rPr>
        <w:t>E. 2</w:t>
      </w:r>
    </w:p>
    <w:p>
      <w:r>
        <w:t>Il ricorrente contesta il sequestro del suo conto, indicando l’origine, a suo dire lecita, dei valori litigiosi ivi depositati e precisando di non disporre di ulteriori beni. Producendo documentazione contrattuale a supporto, egli afferma che la misura in questione non gli permetterebbe di procedere a due rimborsi, prossi- mamente a scadenza, relativi a un finanziamento di oltre USD 5 milioni ricevuto da C. per un progetto commerciale, poi non concretizzatosi: uno di USD 1'232'000.– (scadenza il 14 settembre 2023) e l’altro di USD 109'300.– (scadenza il 18 agosto 2023), causandogli un pregiudizio diretto e irreparabile. Egli sostiene inoltre: di essere perseguito all’estero per ragioni politiche; che la rogatoria non adempirebbe le condizioni legali in materia di forma e di sostanza; che la stessa sarebbe carente a livello di motivazione, ciò che impedirebbe un esame del requisito della doppia punibilità; che l’autorità rogante sarebbe in- competente per procedere penalmente nei suoi confronti.</w:t>
      </w:r>
    </w:p>
    <w:p>
      <w:r>
        <w:rPr>
          <w:b/>
        </w:rPr>
        <w:t>E. 2.1</w:t>
      </w:r>
    </w:p>
    <w:p>
      <w:r>
        <w:t>In base alla giurisprudenza, nel caso di ricorsi rivolti contro decisioni incidentali ai sensi dell’art. 80e cpv. 2 AIMP (v. supra consid. 1.4),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In concreto, il ricorrente ha prodotto tre documenti, ossia le dichiarazioni dei redditi per gli anni 2020, 2021 e parte del 2022 (v. act. 11.2, 11.3 e 11.4), pre- cisando che in Ucraina “soltanto i funzionari pubblici hanno l’obbligo di dichia- rare, oltre ai redditi, il patrimonio (obbligo peraltro attualmente sospeso a</w:t>
      </w:r>
    </w:p>
    <w:p>
      <w:r>
        <w:t>- 5 -</w:t>
      </w:r>
    </w:p>
    <w:p>
      <w:r>
        <w:t>seguito della guerra). Non esiste la dichiarazione del patrimonio per i contri- buenti che non hanno cariche pubbliche” (act. 11, pag. 3).</w:t>
      </w:r>
    </w:p>
    <w:p>
      <w:r>
        <w:t>Premesso che i summenzionati documenti costituiscono delle dichiarazioni del contribuente e non delle decisioni di tassazione, per cui non vi è certezza sui dati effettivamente ritenuti dall’autorità fiscale ucraina, si rileva, come indicato dal MPC nella sua risposta (v. act. 7, pag. 2 e seg.), che in data 6 aprile 2022 vi è stato un trasferimento di EUR 388'491.68 dal conto litigioso a un al- tro conto del ricorrente presso la banca D. a Lisbona (v. atto MPC2_20230224_004_0053_B e MPC1_20230512_006_0017_F/0019_F). Il 17 novembre 2022 vi è stato un ulteriore trasferimento di USD 2'501'749.99 dal conto litigioso a un altro conto presso la banca E. a Monaco di pertinenza del ricorrente (v. atto MPC2_20230224_004_0055_F e MPC2_20230224_004_0087_F). A proposito di tali operazioni, il ricorrente ha affermato che il conto destinatario dell’importo di EUR 388'491.68 presenta at- tualmente un saldo di EUR 11'031.95, mentre il secondo importo sarebbe stato “in larga misura utilizzato per rimborsare il prestito di USD 1'500'000 concesso al Ricorrente da F., cittadino turco residente a Istanbul (…). Il conto presso la banca E. è stato nel frattempo chiuso (…)” (act. 11, pag. 3 e seg.).</w:t>
      </w:r>
    </w:p>
    <w:p>
      <w:r>
        <w:t>Senza necessità di approfondire la questione relativa all’esistenza o meno dell’obbligo di dichiarare fiscalmente il patrimonio in Ucraina – il ricorrente non ha in realtà dimostrato con della documentazione, ma nemmeno con riferimenti al diritto tributario ucraino che permettano a questa Corte di verificare quanto da lui affermato –, si constata che la destinazione finale dei valori oggetto delle due operazioni non è chiara, potendo gli stessi essere stati trasferiti in un se- condo tempo su altri conti di pertinenza del predetto. Da una parte, non è dato di conoscere la destinazione della differenza tra gli importi di EUR 388'491.68 versati sul conto presso la banca D. il 6 aprile 2022 e il saldo attuale di EUR 11'031.95 (v. act. 11.5). Dall’altra, il rimborso di USD 1'500'000.– a F. viene giustificato producendo un documento intitolato “Acknowlegdement Re- ceipt” datato 10 febbraio 2023, mediante il quale il predetto dichiara di aver ri- cevuto USD 1'621'644 dal ricorrente in relazione a un contratto di finanziamento del 19 aprile 2022 (v. act. 11.6), ma nel suo complesso il contesto negoziale resta piuttosto oscuro. Ignota è pure la destinazione della differenza tra USD 2'501'749.99 e il predetto importo di USD 1'500'000.–. Per tacere del fatto che il ricorrente, nel suo gravame, afferma di non disporre “di altri averi in misura significativa” (act. 1, pag. 3), ciò che conferma l’esistenza di altre sue disponi- bilità finanziarie oltre i valori oggetto di sequestro e viste le ingenti somme che egli avrebbe ricevuto sia da F. che da C. è decisamente inverosimile che tali finanziamenti siano stati ottenuti senza garanzie. Ciò che emerge nel com- plesso è un quadro finanziario globale molto lacunoso con operazioni di inve- stimento poco compatibili con i soli redditi dichiarati dal ricorrente dal 2020 al 2022. Non si vede infatti come il ricorrente possa avere ad esempio ottenuto</w:t>
      </w:r>
    </w:p>
    <w:p>
      <w:r>
        <w:t>- 6 -</w:t>
      </w:r>
    </w:p>
    <w:p>
      <w:r>
        <w:t>finanziamenti di USD 5 milioni nell’aprile 2022 a fronte di redditi dichiarati di EUR 46'010.– nel 2020, EUR 222'125.– nel 2021 e EUR 127'124.– in parte del 2022, senza offrire dunque garanzie di tipo patrimoniale, tanto più che non viene in alcun modo spiegato come mai una considerevole parte del denaro non sia più disponibile, limitandosi il ricorrente a sostenere che il progetto commerciale alla base del finanziamento non si sarebbe poi più concretizzato.</w:t>
      </w:r>
    </w:p>
    <w:p>
      <w:r>
        <w:t>Quanto precede non permette in definitiva a questa Corte di avere un’immagine sufficientemente chiara della situazione patrimoniale del ricorrente e di valutare quindi se esiste o meno un pregiudizio immediato e irreparabile ai sensi dell’art. 80e cpv. 2 AIMP e della giurisprudenza sopraccitata, ribadito che il re- lativo onere di allegazione e documentazione è in capo al ricorrente.</w:t>
      </w:r>
    </w:p>
    <w:p>
      <w:r>
        <w:rPr>
          <w:b/>
        </w:rPr>
        <w:t>E. 2.3</w:t>
      </w:r>
    </w:p>
    <w:p>
      <w:r>
        <w:t>Ciò detto, si rileva che le ulteriori censure presentate dal ricorrente avverso la concessione dell’assistenza risultano premature, precisato che le stesse non permettono in ogni caso di concludere che la rogatoria è manifestamente inam- missibile (v. DTF 121 II 241 consid. 3; sentenza del Tribunale federale 1A.258/2006 del 16 febbraio 2007 consid. 2.3), a prescindere da quanto alle- gato e prodotto dal ricorrente in busta sigillata. Ne consegue che la busta ri- marrà chiusa nel fascicolo del giudice dell’assistenza senza possibilità di farne fotocopie, non essendo il suo contenuto determinante per la presente proce- dura.</w:t>
      </w:r>
    </w:p>
    <w:p>
      <w:r>
        <w:rPr>
          <w:b/>
        </w:rPr>
        <w:t>E. 2.4</w:t>
      </w:r>
    </w:p>
    <w:p>
      <w:r>
        <w:t>Da quanto sopra discende che il ricorso è inammissibile per la mancata dimo- strazione dell’esistenza di un pregiudizio immediato e irreparabile giusta l'art. 80e cpv. 2 lett. a AIMP.</w:t>
      </w:r>
    </w:p>
    <w:p>
      <w:r>
        <w:rPr>
          <w:b/>
        </w:rPr>
        <w:t>E. 3</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fr. 4'000.– a carico del ricorrente; essa è coperta dall’anticipo delle spese di fr. 4'000.–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