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RR.2023.60 vom 16. Mai 2023</w:t>
      </w:r>
    </w:p>
    <w:p>
      <w:r>
        <w:t>Bundesstrafgericht, 2023-05-16, DE</w:t>
      </w:r>
    </w:p>
    <w:p>
      <w:r>
        <w:rPr>
          <w:b/>
        </w:rPr>
        <w:t xml:space="preserve">Quelle: </w:t>
      </w:r>
      <w:r>
        <w:t>https://mcp.opencaselaw.ch/entscheid/bstger_RR.2023.60</w:t>
      </w:r>
    </w:p>
    <w:p>
      <w:r>
        <w:t>FR: TPF RR.2023.60 du 16 mai 2023</w:t>
      </w:r>
    </w:p>
    <w:p>
      <w:r>
        <w:t>IT: TPF RR.2023.60 del 16 maggio 2023</w:t>
      </w:r>
    </w:p>
    <w:p>
      <w:pPr>
        <w:pStyle w:val="Heading2"/>
      </w:pPr>
      <w:r>
        <w:t>Regeste</w:t>
      </w:r>
    </w:p>
    <w:p>
      <w:r>
        <w:t>Internationale Rechtshilfe in Strafsachen an Deutschland; Zwischenverfügung (Art. 80e Abs. 2 IRSG) / Richtigstellung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März 2023 auf die Bestimmungen von Art. 93 Abs. 1 bis 3 BGG hinge- wiesen worden ist;</w:t>
      </w:r>
    </w:p>
    <w:p>
      <w:r>
        <w:t>- B. in Vertretung von A. ausdrücklich keine Beschwerde gegen den Entscheid RR.2022.145 vom 22. März 2023 an das Bundesgericht erheben will und auch keine Anträge stellt;</w:t>
      </w:r>
    </w:p>
    <w:p>
      <w:r>
        <w:t>- es B. freisteht, seine Argumente (in Vertretung von A.) direkt bei der aus- führenden kantonalen Behörde spätestens im Hinblick auf den Erlass einer allfälligen Schlussverfügung einzubringen;</w:t>
      </w:r>
    </w:p>
    <w:p>
      <w:r>
        <w:t>- nach Abschluss des Rechtshilfeverfahrens im Übrigen gleichzeitig gegen die Schlussverfügung und die vorangehenden Zwischenverfügungen Beschwer- de bei der Beschwerdekammer des Bundesstrafgerichts erhoben werden kann (Art. 80e Abs. 1 IRSG);</w:t>
      </w:r>
    </w:p>
    <w:p>
      <w:r>
        <w:t>- nach dem Gesagten auf die Eingabe von B. nicht weiter einzugehen ist;</w:t>
      </w:r>
    </w:p>
    <w:p>
      <w:r>
        <w:t>- es sich rechtfertigt, auf die Erhebung einer Gerichtsgebühr für das vorliegen- den Verfahren ausnahmsweise zu verzichten (Art. 63 Abs. 1 3. Satz VwVG).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