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RR.2023.58 vom 26. Juli 2023</w:t>
      </w:r>
    </w:p>
    <w:p>
      <w:r>
        <w:t>Bundesstrafgericht, 2023-07-26, FR</w:t>
      </w:r>
    </w:p>
    <w:p>
      <w:r>
        <w:rPr>
          <w:b/>
        </w:rPr>
        <w:t xml:space="preserve">Quelle: </w:t>
      </w:r>
      <w:r>
        <w:t>https://mcp.opencaselaw.ch/entscheid/bstger_RR.2023.58</w:t>
      </w:r>
    </w:p>
    <w:p>
      <w:r>
        <w:t>FR: TPF RR.2023.58 du 26 juillet 2023</w:t>
      </w:r>
    </w:p>
    <w:p>
      <w:r>
        <w:t>IT: TPF RR.2023.58 del 26 luglio 2023</w:t>
      </w:r>
    </w:p>
    <w:p>
      <w:pPr>
        <w:pStyle w:val="Heading2"/>
      </w:pPr>
      <w:r>
        <w:t>Regeste</w:t>
      </w:r>
    </w:p>
    <w:p>
      <w:r>
        <w:t>Entraide judiciaire internationale en matière pénale à la Slovénie; remise de moyens de preuve (art. 74 EIMP)</w:t>
      </w:r>
    </w:p>
    <w:p>
      <w:pPr>
        <w:pStyle w:val="Heading2"/>
      </w:pPr>
      <w:r>
        <w:t>Erwägungen</w:t>
      </w:r>
    </w:p>
    <w:p>
      <w:r>
        <w:rPr>
          <w:b/>
        </w:rPr>
        <w:t>E. 1.1</w:t>
      </w:r>
    </w:p>
    <w:p>
      <w:r>
        <w:t>L'entraide judiciaire entre la Slovénie et la Confédération suisse est prioritairement régie par la Convention européenne d'entraide judiciaire en matière pénale (CEEJ; RS 0.351.1), entrée en vigueur pour la Suisse le 20 mars 1967 et pour la Slovénie le 17 octobre 2001, et par le Deuxième Protocole additionnel à ladite Convention, entré en vigueur pour la Suisse le 1er février 2005 et pour l’Etat requérant le 1er juillet 2013 (RS 0.351.12). Les art. 48 ss de la Convention d'application de l'Accord de Schengen du 14 juin 1985 (CAAS; n. CELEX 42000A0922[02]; Journal officiel de l'Union européenne L 239 du 22 septembre 2000, p. 19-62) s'appliquent également</w:t>
      </w:r>
    </w:p>
    <w:p>
      <w:r>
        <w:t>- 4 -</w:t>
      </w:r>
    </w:p>
    <w:p>
      <w:r>
        <w:t>à l'entraide pénale entre la Suisse et la Slovénie.</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pour ce qui concerne le rapport entre elles des normes internationales pertinentes (v. art. 48 par. 2 CAAS).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 la relation bancaire dont le MP-GE ordonne la transmission de la documentation à l’Etat requérant, la recourante dispose de la qualité pour recourir contre le prononcé entrepris (art. 80h let. b EIMP et 9a let. a et b OEIMP; ATF 137 IV 134 consid. 5; 118 Ib 547 consid. 1d).</w:t>
      </w:r>
    </w:p>
    <w:p>
      <w:r>
        <w:rPr>
          <w:b/>
        </w:rPr>
        <w:t>E. 1.5</w:t>
      </w:r>
    </w:p>
    <w:p>
      <w:r>
        <w:t>Interjeté le 4 avril 2023, contre une décision notifiée le 4 mars 2023, le recours a été déposé en temps utile (art. 80k EIMP).</w:t>
      </w:r>
    </w:p>
    <w:p>
      <w:r>
        <w:rPr>
          <w:b/>
        </w:rPr>
        <w:t>E. 1.6</w:t>
      </w:r>
    </w:p>
    <w:p>
      <w:r>
        <w:t>Le recours est recevable et il y a lieu d’entrer en matière.</w:t>
      </w:r>
    </w:p>
    <w:p>
      <w:r>
        <w:rPr>
          <w:b/>
        </w:rPr>
        <w:t>E. 2</w:t>
      </w:r>
    </w:p>
    <w:p>
      <w:r>
        <w:t>La recourante allègue une violation de l’art. 14 ch. 2 CEEJ. La demande d’entraide et son complément ne permettraient pas de déterminer en quoi les faits qu’elle décrit seraient constitutifs d’une escroquerie, en particulier quel serait le lien de causalité, requis par l’art. 146 CP, entre les différents éléments de l’escroquerie, de sorte qu’il ne serait pas possible de vérifier le respect des conditions auxquelles la Suisse subordonne l’entraide. En outre,</w:t>
      </w:r>
    </w:p>
    <w:p>
      <w:r>
        <w:t>- 5 -</w:t>
      </w:r>
    </w:p>
    <w:p>
      <w:r>
        <w:t>il ressortirait de la documentation bancaire dont la transmission est envisagée que l’ayant droit économique de la relation n’est pas B. La demande d’entraide constituerait une recherche indéterminée de moyens de preuve (act. 1, p. 4 ss).</w:t>
      </w:r>
    </w:p>
    <w:p>
      <w:r>
        <w:rPr>
          <w:b/>
        </w:rPr>
        <w:t>E. 2.1</w:t>
      </w:r>
    </w:p>
    <w:p>
      <w:r>
        <w:t>Aux termes de l’art. 14 CEEJ, la demande d'entraide doit notamment indiquer, outre l'autorité dont elle émane (ch. 1 let. a), son objet et son but (ch. 1 let. b), et, dans la mesure du possible l'identité et la nationalité de la personne en cause (ch. 1 let. c),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rPr>
          <w:b/>
        </w:rPr>
        <w:t>E. 2.2</w:t>
      </w:r>
    </w:p>
    <w:p>
      <w:r>
        <w:t>La condition de la double incrimination est satisfaite lorsque l'état de faits exposé dans la demande d'entraide correspond, prima facie, aux éléments</w:t>
      </w:r>
    </w:p>
    <w:p>
      <w:r>
        <w:t>- 6 -</w:t>
      </w:r>
    </w:p>
    <w:p>
      <w:r>
        <w:t>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w:t>
      </w:r>
    </w:p>
    <w:p>
      <w:r>
        <w:rPr>
          <w:b/>
        </w:rPr>
        <w:t>E. 2.3</w:t>
      </w:r>
    </w:p>
    <w:p>
      <w:r>
        <w:t>En l’espèce, il ressort de la demande d’entraide slovène que, après avoir racheté, à deux banques, les créances – valant EUR 15'455'074,35 (au 31 mars 2015) – que celles-ci détenaient envers la société E., la société G. a décidé, à son tour, de vendre ces créances et a lancé un appel d’offre dans ce but. L’une des conditions de la vente était que l’acheteur devait déclarer ne pas être lié d’une quelconque manière, avec la société E., débitrice des créances, ses propriétaires ou gérants. La société G. est entrée en négociations avec une société I. GmbH, appartenant à D. et J., avant d’accepter l’offre de rachat des créances de la société F., contrôlée par les deux mêmes personnes, pour la somme d’EUR 6,5 millions, payable dans les trente jours suivant la signature du contrat, à condition d’interrompre la procédure de mise en faillite de la société E., à laquelle la société G. envisageait de recourir. Il apparaissait que la société E. était, depuis plusieurs années, toujours plus déficitaire et que les créanciers avaient tenté, en vain, de faire exécuter leurs créances. Selon l’art. 8 du contrat de vente du 15 septembre 2015, la société F. a expressément déclaré n’être pas liée, au sens de la loi slovène, à la société E. et/ou à ses gérants/propriétaires, reprendre les créances pour son propre compte et n’avoir pas, au moment de la conclusion du contrat, conclu d’accord sur la base duquel elle serait obligée de céder ses créances à la société E. ses gérants/propriétaires ou à des personnes qui leur seraient liées. La somme d’EUR 6,5 millions a été versée le 16 décembre 2015. La société F. a ensuite revendu, le</w:t>
      </w:r>
    </w:p>
    <w:p>
      <w:r>
        <w:t>- 7 -</w:t>
      </w:r>
    </w:p>
    <w:p>
      <w:r>
        <w:t>23 décembre 2015, les créances sur les biens immobiliers de la société E. à la société K. Ltd, sise à Chypre, laquelle a racheté à la société E., en avril 2016, les biens immobiliers – sur lesquels se trouve un hôtel – pour le prix correspondant aux créances sur lesdits biens immobiliers qu’elle détenait envers la société E. L’hôtel, inscrit au registre foncier au nom de K. Ltd, serait géré, depuis 2016, par une société appartenant à la famille B., suite au retrait de D. de cette société en janvier 2016. L’autorité requérante soupçonne D. d’avoir agi, selon un accord préalable avec B., pour le compte et au bénéfice de la société E. et B., en déclarant faussement n’avoir aucun lien avec eux, lesquels auraient, de la sorte, obtenu un avantage patrimonial illicite, puisque les créances auraient été rachetées par B. (et/ou ses sociétés), qui aurait gardé la mainmise sur l’hôtel. Ces faits seraient constitutifs, selon le droit slovène, d’escroquerie ou de fraude commerciale (act. 1.3 et 1.5).</w:t>
      </w:r>
    </w:p>
    <w:p>
      <w:r>
        <w:rPr>
          <w:b/>
        </w:rPr>
        <w:t>E. 2.4</w:t>
      </w:r>
    </w:p>
    <w:p>
      <w:r>
        <w:t>La demande d’entraide et son complément contiennent les motifs et buts de l’entraide, les causes de l’enquête nationale, ainsi que les personnes objet de celle-ci, un exposé sommaire des faits et leur qualification juridique selon le droit slovène (v. supra Faits, let. A et consid. 2.3), ce qui satisfait manifestement les conditions de la CEEJ et de l’EIMP.</w:t>
      </w:r>
    </w:p>
    <w:p>
      <w:r>
        <w:rPr>
          <w:b/>
        </w:rPr>
        <w:t>E. 2.5</w:t>
      </w:r>
    </w:p>
    <w:p>
      <w:r>
        <w:t>À l’aune du principe de la double incrimination, les faits décrits dans la demande, transposés en droit suisse, réalisent prima facie les éléments constitutifs de l’escroquerie (art. 146 CP).</w:t>
      </w:r>
    </w:p>
    <w:p>
      <w:r>
        <w:rPr>
          <w:b/>
        </w:rPr>
        <w:t>E. 2.5.1</w:t>
      </w:r>
    </w:p>
    <w:p>
      <w:r>
        <w:t>Se rend coupable d’escroquerie, au sens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et s.; 135 IV 76 consid. 5.2 p. 79 ss). L'escroquerie n'est consommée que s'il y a un dommage (arrêt du Tribunal fédéral 6B_139/2016 du 21 novembre 2016 consid. 3.1 et les références citées). Le dommage est une lésion du patrimoine sous la forme d'une diminution de l'actif, d'une augmentation du passif, d'une non-augmentation de l'actif ou d'une non-diminution du passif, mais aussi d'une mise en danger</w:t>
      </w:r>
    </w:p>
    <w:p>
      <w:r>
        <w:t>- 8 -</w:t>
      </w:r>
    </w:p>
    <w:p>
      <w:r>
        <w:t>de celui-ci telle qu'elle a pour effet d'en diminuer la valeur du point de vue économique (ATF 129 IV 124 consid. 3.1 p. 125 et s.). Un préjudice temporaire suffit (ATF 121 IV 104 consid. 2c p. 108).</w:t>
      </w:r>
    </w:p>
    <w:p>
      <w:r>
        <w:rPr>
          <w:b/>
        </w:rPr>
        <w:t>E. 2.5.2</w:t>
      </w:r>
    </w:p>
    <w:p>
      <w:r>
        <w:t>La fausse déclaration de la société F., par son représentant D., dans le contrat de vente du 15 septembre 2015 (art. 8), selon laquelle elle n’était aucunement liée à la société E. et/ou à ses propriétaires, reprenait les créances pour son propre compte et n’avait, au moment de la conclusion du contrat, pas conclu d’accord l’obligeant à céder ses créances à la société E., ses gérants/propriétaires ou à des personnes qui leur seraient liées, constitue une tromperie, astucieuse en tant qu’elle ne pouvait être vérifiée – à tout le moins facilement – par la société G. Sans cette déclaration, la société G. n’aurait pas vendu à la société F. les créances de la société E., puisque cela constituait une condition du rachat. En conséquence, l’erreur dans laquelle se trouvait la société G. a été déterminante pour la conclusion du contrat de vente, laquelle s’est faite à son détriment, engendrant un préjudice patrimonial, puisqu’elle a cédé les créances. Le montant du préjudice n’est en soi pas déterminant, sachant, vu la situation décrite, qu’il apparaissait peu improbable pour la société G. de pouvoir revendre les créances pour EUR 15'455'074,35, étant en outre relevé que la demande d’entraide ne précise pas le prix auquel elle les avait préalablement rachetées aux deux banques.</w:t>
      </w:r>
    </w:p>
    <w:p>
      <w:r>
        <w:rPr>
          <w:b/>
        </w:rPr>
        <w:t>E. 2.5.3</w:t>
      </w:r>
    </w:p>
    <w:p>
      <w:r>
        <w:t>Quant à savoir, comme l’allègue la recourante, pourquoi la société G. a radié les créances envers la société E., suite à l’exécution du contrat de vente avec la société F., et si elle pouvait faire annuler la radiation ou faire encore valoir des créances radiées, même s’il n’est pas précisé où la radiation aurait eu lieu (livres de la société G., registre foncier, des poursuites), cela n’apparaît pas décisif pour la réalisation des éléments constitutifs de l’escroquerie, selon l’art. 146 CP, un préjudice temporaire ayant, de toute manière, existé.</w:t>
      </w:r>
    </w:p>
    <w:p>
      <w:r>
        <w:rPr>
          <w:b/>
        </w:rPr>
        <w:t>E. 2.5.4</w:t>
      </w:r>
    </w:p>
    <w:p>
      <w:r>
        <w:t>La condition abstraite de la double incrimination est ainsi réalisée.</w:t>
      </w:r>
    </w:p>
    <w:p>
      <w:r>
        <w:rPr>
          <w:b/>
        </w:rPr>
        <w:t>E. 2.6</w:t>
      </w:r>
    </w:p>
    <w:p>
      <w:r>
        <w:t>La demande d’entraide vise l’obtention de renseignements ciblés concernant la recourante, dont le compte bancaire a servi à payer le prix de rachat des créances à la société G., ce qui exclut une recherche indéterminée de moyens de preuve, telle qu’alléguée par la recourante (v. supra consid. 2). Quant au fait que B. n’est pas l’ayant droit économique de la relation, l’appréciation des moyens de preuve appartient au juge du fond, soit à l’Etat requérant, lequel doit disposer, pour ce faire, des éléments qui pourraient s'avérer pertinents tant à charge qu'à décharge (v. arrêt du Tribunal fédéral 1A.88/2006 du 22 juin 2006 consid. 5.3). Cela scelle le sort du grief.</w:t>
      </w:r>
    </w:p>
    <w:p>
      <w:r>
        <w:t>- 9 -</w:t>
      </w:r>
    </w:p>
    <w:p>
      <w:r>
        <w:rPr>
          <w:b/>
        </w:rPr>
        <w:t>E. 3</w:t>
      </w:r>
    </w:p>
    <w:p>
      <w:r>
        <w:t>Au vu de ce qui précède, le recours est rejeté.</w:t>
      </w:r>
    </w:p>
    <w:p>
      <w:r>
        <w:rPr>
          <w:b/>
        </w:rPr>
        <w:t>E. 4</w:t>
      </w:r>
    </w:p>
    <w:p>
      <w:r>
        <w:t>En règle générale, les frais de procédure comprenant l'émolument d'arrêt, les émoluments de chancellerie et les débours sont mis à la charge de la partie qui succombe (art. 63 al. 1 PA, applicable par renvoi de l'art. 39 LOAP). En tant que telle, la recourante doit supporter les frais du présent arrêt, lesquels sont fixés à CHF 5’000.-- (v. art. 73 al. 2 LOAP, art. 8 al. 3 let. a du règlement du Tribunal pénal fédéral sur les frais, émoluments, dépens, et indemnités de la procédure pénale fédérale [RFPPF; RS 173.713.162] et art. 63 al. 5 PA), montant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