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RR.2023.56 vom 6. Dezember 2023</w:t>
      </w:r>
    </w:p>
    <w:p>
      <w:r>
        <w:t>Bundesstrafgericht, 2023-12-06, DE</w:t>
      </w:r>
    </w:p>
    <w:p>
      <w:r>
        <w:rPr>
          <w:b/>
        </w:rPr>
        <w:t xml:space="preserve">Quelle: </w:t>
      </w:r>
      <w:r>
        <w:t>https://mcp.opencaselaw.ch/entscheid/bstger_RR.2023.56</w:t>
      </w:r>
    </w:p>
    <w:p>
      <w:r>
        <w:t>FR: TPF RR.2023.56 du 6 décembre 2023</w:t>
      </w:r>
    </w:p>
    <w:p>
      <w:r>
        <w:t>IT: TPF RR.2023.56 del 6 dicembre 2023</w:t>
      </w:r>
    </w:p>
    <w:p>
      <w:pPr>
        <w:pStyle w:val="Heading2"/>
      </w:pPr>
      <w:r>
        <w:t>Regeste</w:t>
      </w:r>
    </w:p>
    <w:p>
      <w:r>
        <w:t>Internationale Rechtshilfe in Strafsachen an Belgien; Rückweisungsurteil des Bundesgerichts; Kosten- und Entschädigungsfolgen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Verfahrenskosten werden in der Regel der unterliegenden Partei aufer- legt; unterliegt diese nur teilweise, so werden die Verfahrenskosten ermäs- sigt. Keine Verfahrenskosten werden Vorinstanzen oder beschwerdeführen- den und unterliegenden Bundesbehörden auferlegt (Art. 39 Abs. 2 lit. b i.V.m. Art. 37 Abs. 2 lit. a des Bundesgesetzes über die Organisation der Strafbe- hörden des Bundes vom 19. März 2010 [StBOG; SR 173.71] i.V.m. Art. 63 Abs. 2 des Bundesgesetzes vom 20. Dezember 1968 über das Verwaltungs- verfahren [VwVG; SR 172.021]). Darüber hinaus kann der ganz oder teil- weise obsiegenden Partei von Amtes wegen oder auf Begehren eine Ent- schädigung für ihr erwachsene notwendige und verhältnismässig hohe Kos- ten zugesprochen werden (Art. 39 Abs. 2 lit. b StBOG i.V.m. Art. 64 Abs. 1 und 2 VwVG). Obsiegt die Partei nur teilweise, so ist die Parteientschädigung entsprechend zu kürzen (vgl. MÜLLER, in Waldmann/Krauskopf [Hrsg.], Pra- xiskommentar VwVG, 3. Aufl. 2023, N. 17 zu Art. 64). Die Parteientschädi- gung wird nach Ermessen festgesetzt, wenn spätestens mit der einzigen</w:t>
      </w:r>
    </w:p>
    <w:p>
      <w:r>
        <w:t>- 5 -</w:t>
      </w:r>
    </w:p>
    <w:p>
      <w:r>
        <w:t>oder letzten Eingabe keine Kostennote eingereicht wird (Art. 12 Abs. 2 des Reglements des Bundesstrafgerichts vom 31. August 2010 über die Kosten, Gebühren und Entschädigungen in Bundesstrafverfahren [BStKR; SR 173.713.162] i.V.m. Art. 64 Abs. 5 VwVG und Art. 73 Abs. 1 lit. c StBOG).</w:t>
      </w:r>
    </w:p>
    <w:p>
      <w:r>
        <w:rPr>
          <w:b/>
        </w:rPr>
        <w:t>E. 1.2</w:t>
      </w:r>
    </w:p>
    <w:p>
      <w:r>
        <w:t>Mit Urteil vom 21. April 2023 bestätigte das Bundesgericht die Abweisung der Beschwerde, soweit sich diese gegen die Wegnahme von CHF 3'311'858.-- vom beschlagnahmten Guthaben im Hinblick auf die Ein- ziehung zugunsten des ersuchenden Staates richtete. Hingegen hiess das Bundesgericht die Beschwerde insofern gut, als das Rechtsmittel der Be- schwerdeführerin betreffend die Ersatzforderung des belgischen Staates in der Höhe von CHF 1'605'163.-- von der Beschwerdekammer abgewiesen wurde. In diesem Umfang überwies das Bundesgericht die Sache an das BJ. Zudem stellte das Bundesgericht eine Gehörsverletzung durch die Be- schwerdekammer fest, indem diese den Antrag der Beschwerdeführerin, den Umrechnungskurs von Euro in Schweizer Franken zum Zeitpunkt des Erlas- ses des Endentscheides nicht berücksichtigt habe.</w:t>
      </w:r>
    </w:p>
    <w:p>
      <w:r>
        <w:t>Im (Teil-)Verfahren RR.2020.245 obsiegt die Beschwerdeführerin im Umfang von circa eines Drittels des vom Rechtshilfeersuchen betroffenen Gutha- bens. Entgegen der Ansicht der Beschwerdeführerin ist die vom Bundesge- richt festgestellte Gehörsverletzung durch die Beschwerdekammer bei der vorliegenden Kostenverlegung nicht zu berücksichtigen. Dies, weil der ent- sprechende (und von der Beschwerdekammer nicht berücksichtigte) Antrag der Beschwerdeführerin gemäss Ausführungen des Bundesgerichts klarer- weise unzulässig war (E. 8.2). Hingegen ist dem Obsiegen der Beschwerde- führerin im (Teil-)Verfahren RR.2020.245a im Umfang von rund einem Fünftel Rechnung zu tragen. Unter den gegebenen Umständen ist der Be- schwerdeführerin somit eine um die Hälfte reduzierte Gerichtsgebühr von Fr. 4'000.-- aufzuerlegen, unter Anrechnung des entsprechenden Betrages aus dem geleisteten Kostenvorschuss in der Höhe von Fr. 8'000.--. Die Bun- desstrafgerichtskasse ist anzuweisen, der Beschwerdeführerin den Restbe- trag von Fr. 4'000.-- zurückzuerstatten.</w:t>
      </w:r>
    </w:p>
    <w:p>
      <w:r>
        <w:rPr>
          <w:b/>
        </w:rPr>
        <w:t>E. 1.3</w:t>
      </w:r>
    </w:p>
    <w:p>
      <w:r>
        <w:t>Unter Berücksichtigung aller Umstände erscheint vorliegend eine Parteient- schädigung von Fr. 4'000.-- (inkl. MwSt.) als angemessen. Zufolge des teil- weisen Obsiegens der Beschwerdeführerin ist diese im Umfang von Fr. 2’000.-- (inkl. MwSt.) durch die Beschwerdegegnerin zu entschädigen.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