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RR.2023.48 vom 8. August 2023</w:t>
      </w:r>
    </w:p>
    <w:p>
      <w:r>
        <w:t>Bundesstrafgericht, 2023-08-08, IT</w:t>
      </w:r>
    </w:p>
    <w:p>
      <w:r>
        <w:rPr>
          <w:b/>
        </w:rPr>
        <w:t xml:space="preserve">Quelle: </w:t>
      </w:r>
      <w:r>
        <w:t>https://mcp.opencaselaw.ch/entscheid/bstger_RR.2023.48</w:t>
      </w:r>
    </w:p>
    <w:p>
      <w:r>
        <w:t>FR: TPF RR.2023.48 du 8 août 2023</w:t>
      </w:r>
    </w:p>
    <w:p>
      <w:r>
        <w:t>IT: TPF RR.2023.48 del 8 agosto 2023</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sono anche la Convenzione sul riciclaggio, la ricerca, il sequestro e la confisca dei proventi di reato, conclusa a Strasburgo l’8 novembre 1990, entrata in vigore il 1° settem- bre 1993 per la Svizzera ed il 1° maggio 1994 per l’Italia (CRic; RS 0.311.53), nonché la Convenzione delle Nazioni Unite contro la criminalità organizzata</w:t>
      </w:r>
    </w:p>
    <w:p>
      <w:r>
        <w:t>- 5 -</w:t>
      </w:r>
    </w:p>
    <w:p>
      <w:r>
        <w:t>internazionale, conclusa a New York il 15 novembre 2000, entrata in vigore il 10 settembre 2006 per l’Italia ed il 26 novembre 2006 per la Svizzera (RS 0.311.54).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 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rPr>
          <w:b/>
        </w:rPr>
        <w:t>E. 1.2</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1.3</w:t>
      </w:r>
    </w:p>
    <w:p>
      <w:r>
        <w:t>Interposto tempestivamente contro la decisione di chiusura del 23 marzo 2023 congiuntamente alle decisioni incidentali anteriori, il ricorso è ricevibile sotto il profilo degli art. 25 cpv. 1, 80e cpv. 1 e 80k AIMP. Nella misura in cui la perqui- sizione e il sequestro dei dati informatici oggetto della decisione impugnata sono avvenuti presso il domicilio del ricorrente a Bäretswil (v. act. 1.1 pag. 2 e seg.), la sua legittimazione ricorsuale è data (v. art. 80h lett. b AIMP e art. 9a lett. b OAIMP nonché DTF 137 IV 134 consid. 6.2; 130 II 162 consid. 1.1; 128 II 211 consid. 2.3; sentenze del Tribunale penale federale RR.2016.277 del 7 febbraio 2017 consid. 1.5.2; RR.2015.289-290 del 13 aprile 2016 con- sid. 2.2.1).</w:t>
      </w:r>
    </w:p>
    <w:p>
      <w:r>
        <w:rPr>
          <w:b/>
        </w:rPr>
        <w:t>E. 2</w:t>
      </w:r>
    </w:p>
    <w:p>
      <w:r>
        <w:t>L'insorgente sostiene che la decisione impugnata violi il principio della propor- zionalità, sconfinando finanche in un'operazione di fishing expedition, in quanto il MPC, ordinando una completa ed indiscriminata trasmissione dei dati conte- nuti nei cellulari perquisiti, avrebbe statuito ultra petita (v. act. 1, pag. 4 e seg.). Fatti salvi i dati per i quali il ricorrente si è espressamente dichiarato disposto ad un trasferimento semplificato (v. act. 1, pag. 5), egli contesta, sia nella so- stanza che nella tempistica, l'utilità potenziale dei dati oggetto dell’impugnativa. Egli ritiene che l’autorità rogante disporrebbe già di tutti gli elementi – segnata- mente dati informatici e bancari relativi alle procedure intentate contro di lui nel 2020 – utili a chiarire le operazioni per le quali egli è indagato ed a formulare una richiesta di assistenza giudiziaria circostanziata, per cui le trasmissioni con- testate non servirebbero a far progredire l’inchiesta (v. act. 1, pag. 5).</w:t>
      </w:r>
    </w:p>
    <w:p>
      <w:r>
        <w:t>- 6 -</w:t>
      </w:r>
    </w:p>
    <w:p>
      <w:r>
        <w:t>Inoltre, a mente del ricorrente, trattandosi di dati informatici estrapolati da di- spositivi personali, essi rappresenterebbero dati sensibili e la loro trasmissione costituirebbe quindi una violazione del diritto alla privacy (v. act. 1, pag. 4).</w:t>
      </w:r>
    </w:p>
    <w:p>
      <w:r>
        <w:rPr>
          <w:b/>
        </w:rPr>
        <w:t>E. 2.1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 porzionalità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 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w:t>
      </w:r>
    </w:p>
    <w:p>
      <w:r>
        <w:t>- 7 -</w:t>
      </w:r>
    </w:p>
    <w:p>
      <w:r>
        <w:t>consid. 6.1). Tale divieto si fonda semplicemente sul fatto che è inammissibile procedere a casaccio nella raccolta delle prove (DTF 113 Ib 257 consid. 5c; sentenza del Tribunale penale federale RR.2017.21 dell’8 maggio 2017 con- sid. 3.1).</w:t>
      </w:r>
    </w:p>
    <w:p>
      <w:r>
        <w:t>Il principio della proporzionalità impedisce inoltre all'autorità rogata di agire ul- tra petita, ovvero di andare oltre i provvedimenti postulati dall'autorità richie- dente, concedendo allo Stato rogante un'assistenza maggiore di quella richiesta (cosiddetto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2.2</w:t>
      </w:r>
    </w:p>
    <w:p>
      <w:r>
        <w:t>Nella decisione impugnata, il MPC ha spiegato che “alla luce del modus ope- randi di A. e di conseguenza del sistema messo in atto dallo stesso per trasferire valori in modo fraudolento oggetto del procedimento italiano e dei suoi contatti con esponenti della ‘ndrangheta, appare ragionevole ritenere che la documen- tazione in disamina è d’interesse e che possa costituire senz’alto una fonte di informazioni utili per l’autorità italiana, anche solo a titolo circostanziale, al fine di chiarire la complessa struttura e organizzazione e poter infine risalire alle persone coinvolte nel trasferimento fraudolento di valori per i quali A. si trova sotto imputazione. Oltretutto, l’interesse di A. ad acquisire la nazionalità turca e/o emiratense può far pensare che egli voglia sottrarsi al sistema di estradi- zione, nel caso concreto verso l’Italia. Si giustifica pertanto l’invio di tutta la do- cumentazione” (act. 1.1, pag. 8). Il MPC, di concerto con gli inquirenti italiani che hanno partecipato alla cernita dei dati informatici rinvenuti sui dispositivi elettronici del ricorrente, sostiene che questi possano servire a tracciare i suoi contatti con i summenzionati esponenti della mafia, nonché le molteplici transa- zioni fraudolente oggetto dell’inchiesta italiana. A detta del MPC, le chat intrat- tenute dal ricorrente consoliderebbero i mezzi di prova recentemente scoperti dall’autorità rogante, ragion per la quale quest’ultima dovrebbe essere messa in condizione di poter usufruire della documentazione litigiosa (v. act. 1.1, pag. 8 e segg.).</w:t>
      </w:r>
    </w:p>
    <w:p>
      <w:r>
        <w:t>- 8 -</w:t>
      </w:r>
    </w:p>
    <w:p>
      <w:r>
        <w:rPr>
          <w:b/>
        </w:rPr>
        <w:t>E. 2.3</w:t>
      </w:r>
    </w:p>
    <w:p>
      <w:r>
        <w:t>In concreto, visto quanto precede nonché la contiguità tra gli esponenti della ‘ndrangheta ed il ricorrente, l’utilità potenziale dei dati informatici rinvenuti e selezionati sui suoi dispositivi è certamente data, già solo per il fatto che è di- rettamente indagato nell’inchiesta italiana, per cui è evidente che le autorità estere necessitino di tutte le informazioni in questione per ricostruire in maniera esaustiva tutti i suoi rapporti con l’organizzazione criminale in questione. Il con- solidato modus operandi del ricorrente e gli indizi relativi alla sua intenzione di stabilirsi all’estero, dove altresì creare nuove società, confortano i sospetti dell’autorità estera. Sospettando che il conto intestato alla società svizzera ri- conducibile al ricorrente possa essere stato utilizzato per occultare valori patri- moniali di presunta provenienza illecita legati ai contatti di quest’ultimo con la ‘ndrangheta, occorre poter analizzare la totalità dei dati selezionati, per rico- struire la rete di contatti del ricorrente e per verificare l’eventuale ruolo di terze persone non ancora note alle autorità estere ma potenzialmente coinvolte nella vicenda delittuosa. A tal proposito si rileva che l’interesse alla “privacy” delle persone toccate dalle misure chiaramente non può prevalere, nelle descritte circostanze, sulle necessità di indagine e sull’obbligo della Svizzera di accor- dare l’assistenza più ampia possibile (art. 1 cpv. 1 CEAG; art. 18 Convenzione ONU contro la criminalità organizzata; sentenza del Tribunale federale 1A.182/2006 del 9 agosto 2007 consid. 3.3; sentenza del Tribunale penale fe- derale RR.2017.4 del 5 maggio 2017 consid. 3.4), per cui la richiesta di circo- scrivere la trasmissione ai dati relativi al periodo 1° gennaio 2014 – 31 dicembre 2019 come da conclusioni al ricorso, non può essere accolta, vista la natura dei reati oggetto dell’inchiesta estera e la necessità di chiarire i fatti in una prospet- tiva temporale esaustiva. Il diritto alla riservatezza del ricorrente e di terzi non prevale manifestamente sulle esigenze dell’inchiesta penale italiana.</w:t>
      </w:r>
    </w:p>
    <w:p>
      <w:r>
        <w:t>Non da ultimo, va rilevato che la cernita dei dati oggetto di trasmissione si è svolta con la partecipazione di un rappresentante dell’autorità italiana. Questi ha potuto esprimersi in merito alla selezione dei dati, rilevandone il valore pro- bante per le indagini (v. Fatti, lett. D; act. 1.1, pag. 6 e seg.). È quindi a torto che il ricorrente sostiene che la trasmissione della documentazione litigiosa sarebbe inutile per il procedimento estero. L’argomento secondo il quale il MPC avrebbe statuito ultra petita va dunque respinto.</w:t>
      </w:r>
    </w:p>
    <w:p>
      <w:r>
        <w:rPr>
          <w:b/>
        </w:rPr>
        <w:t>E. 2.4</w:t>
      </w:r>
    </w:p>
    <w:p>
      <w:r>
        <w:t>Spetterà comunque al giudice estero del merito valutare se dalla documenta- zione informatica inoltrata emerge in concreto una connessione penalmente ri- levante fra i fatti oggetto della procedura penale in Italia e la stessa documen- tazione. Alla luce della domanda rogatoriale risulta che tutta la documentazione litigiosa è potenzialmente utile per l’inchiesta, motivo per cui la sua trasmissione rispetta il principio della proporzionalità e non costituisce un’inammissibile fishing expedition.</w:t>
      </w:r>
    </w:p>
    <w:p>
      <w:r>
        <w:t>- 9 -</w:t>
      </w:r>
    </w:p>
    <w:p>
      <w:r>
        <w:rPr>
          <w:b/>
        </w:rPr>
        <w:t>E. 3</w:t>
      </w:r>
    </w:p>
    <w:p>
      <w:r>
        <w:t>In conclusione, il ricorso va respinto e la decisione impugnata confermata.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5'000.–, a carico del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