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RR.2023.46 vom 10. August 2023</w:t>
      </w:r>
    </w:p>
    <w:p>
      <w:r>
        <w:t>Bundesstrafgericht, 2023-08-10, DE</w:t>
      </w:r>
    </w:p>
    <w:p>
      <w:r>
        <w:rPr>
          <w:b/>
        </w:rPr>
        <w:t xml:space="preserve">Quelle: </w:t>
      </w:r>
      <w:r>
        <w:t>https://mcp.opencaselaw.ch/entscheid/bstger_RR.2023.46</w:t>
      </w:r>
    </w:p>
    <w:p>
      <w:r>
        <w:t>FR: TPF RR.2023.46 du 10 août 2023</w:t>
      </w:r>
    </w:p>
    <w:p>
      <w:r>
        <w:t>IT: TPF RR.2023.46 del 10 agosto 2023</w:t>
      </w:r>
    </w:p>
    <w:p>
      <w:pPr>
        <w:pStyle w:val="Heading2"/>
      </w:pPr>
      <w:r>
        <w:t>Regeste</w:t>
      </w:r>
    </w:p>
    <w:p>
      <w:r>
        <w:t>Internationale Rechtshilfe in Strafsachen an die Ukraine; Ausstand (Art. 10 VwVG)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w:t>
      </w:r>
    </w:p>
    <w:p>
      <w:r>
        <w:t>- 5 -</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Satz 1 IRSG). Für Prozesshandlungen gilt das in Strafsachen mass- gebende Verfahrensrecht (Art. 12 Abs. 1 Satz 2 IRSG).</w:t>
      </w:r>
    </w:p>
    <w:p>
      <w:r>
        <w:rPr>
          <w:b/>
        </w:rPr>
        <w:t>E. 2.1.1</w:t>
      </w:r>
    </w:p>
    <w:p>
      <w:r>
        <w:t>Erstinstanzliche Verfügungen der kantonalen Behörden und der Bundesbe- hörden unterliegen, soweit das Gesetz nichts anderes bestimmt, unmittelbar der Beschwerde an die Beschwerdekammer des Bundesstrafgerichts (Art. 25 Abs. 1 und Art. 80e Abs. 1 IRSG i.V.m. Art. 37 Abs. 2 lit. a Ziff. 1 StBOG). Die Beschwerdekammer ist zudem gemäss Art. 59 Abs. 1 lit. b StPO i.V.m. Art. 25 Abs. 1 IRSG zur Beurteilung von Ausstandsbegehren gegen die mit dem Vollzug der Rechtshilfe betrauten Staatsanwälte zustän- dig (vgl. die Entscheide des Bundesstrafgerichts RR.2016.271 vom 4. Mai 2017 E. 14.2; RR.2016.32-35 vom 27. April 2016 E. 2.5; RR.2012.169 vom 14. September 2012 E. 2.2). Die materielle Beurteilung des gegen eine aus- führende Bundesbehörde gerichteten Ausstandsbegehrens hat gestützt auf Art. 10 Abs. 1 VwVG i.V.m. Art. 12 Abs. 1 IRSG zu erfolgen (Entscheid des Bundesstrafgerichts RR.2012.169 vom 14. September 2012 E. 2.2).</w:t>
      </w:r>
    </w:p>
    <w:p>
      <w:r>
        <w:rPr>
          <w:b/>
        </w:rPr>
        <w:t>E. 2.1.2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w:t>
      </w:r>
    </w:p>
    <w:p>
      <w:r>
        <w:t>- 6 -</w:t>
      </w:r>
    </w:p>
    <w:p>
      <w:r>
        <w:t>Ausstandsbestimmungen (BGE 141 III 210 E. 5.2; 132 II 485 E. 4.3 m.w.H.; Urteil des Bundesgerichts 2C_972/2015 vom 30. März 2016 E. 2.1.2; vgl. auch BREITENMOSER/SPORI FEDAIL, in: Waldmann/Weissenberger (Hrsg.), VwVG–Praxiskommentar, 2. Aufl. 2016, N. 104 zu Art. 10 VwVG; FELLER/ KUNZ-NOTTER, Kommentar zum Bundesgesetz über das Verwaltungsverfah- ren, 2. Aufl. 2019, N. 35 zu Art. 10 VwVG). Die den Ausstand begründenden Tatsachen sind sodann glaubhaft zu machen. Weder darf sich dabei die Par- tei mit einer bloss spekulativen Behauptung begnügen, noch darf die über das Ausstandsbegehren entscheidende Behörde einen strikten Beweis ver- langen (FELLER/KUNZ-NOTTER, a.a.O., N. 16 zu Art. 10 VwVG).</w:t>
      </w:r>
    </w:p>
    <w:p>
      <w:r>
        <w:t>Die Parteien können den Ausstand von «Personen, die eine Verfügung zu treffen oder diese vorzubereiten haben» verlangen (Art. 10 Abs. 1 VwVG). Das betrifft in erster Linie diejenigen Personen, welche einen direkten Ein- fluss auf das konkrete Verfahren ausüben. Ein Ausstandsgesuch kann daher grundsätzlich nur gegen die am Strafverfahren mitwirkenden Personen ge- stellt werden, primär somit gegen den Verfahrensleiter oder die Verfahrens- leiterin und gegen die unter deren Verantwortung stehenden Personen. Letztgenannte fallen jedoch dann ausser Betracht, wenn sich deren Mitwir- kung am Verfahren nur als marginal erweist (vgl. hierzu den Beschluss des Bundesstrafgerichts BB.2018.195 vom 3. April 2019 E. 1.5 mit Hinweis). Massgebliche Kriterien für die Anwendbarkeit der Ausstandsbestimmungen auf Hilfspersonen müssen deren Nähe zum Verfahren sein sowie die Mög- lichkeit, einen eigenen in der Sache sich auswirkenden Beitrag zu leisten. Eine allfällige Befangenheit der Führungsverantwortlichen wirkt sich dem- nach nicht zwingend auch auf die in den einzelnen Verfahren ermittelnden Staatsanwälte sowie auf die diesen unterstellten Personen aus (vgl. Be- schluss des Bundesstrafgerichts BB.2018.197 vom 17. Juni 2019 E. 3.4).</w:t>
      </w:r>
    </w:p>
    <w:p>
      <w:r>
        <w:rPr>
          <w:b/>
        </w:rPr>
        <w:t>E. 2.2</w:t>
      </w:r>
    </w:p>
    <w:p>
      <w:r>
        <w:t>Die Gesuchstellerin ist als von der Rechtshilfehandlung Betroffene Partei im Verfahren RH.20.0290. Sie macht sinngemäss geltend, die Gesuchsgegne- rin sei befangen im Sinne von Art. 10 Abs. 1 lit. d VwVG. Zum Anlass ihres Ausstandsgesuchs nimmt die Gesuchstellerin das Schreiben des fallführen- den Staatsanwalts C. vom 6. April 2023 (act. 1 S. 2), welches ihr am 11. Ap- ril 2023 zugestellt worden sei. Die Gesuchstellerin hat das Ausstandsgesuch mit Eingabe vom 17. April 2023 an die Beschwerdekammer des Bundesstraf- gerichts und damit rechtzeitig gestellt.</w:t>
      </w:r>
    </w:p>
    <w:p>
      <w:r>
        <w:rPr>
          <w:b/>
        </w:rPr>
        <w:t>E. 2.3</w:t>
      </w:r>
    </w:p>
    <w:p>
      <w:r>
        <w:t>Die Gesuchstellerin wirft dem fallführenden Staatsanwalt des Bundes, C., vor, dieser sei wegen Gehörsverletzung im Zusammenhang mit der Triagie- rung der beschlagnahmten Daten, wegen vorsätzlicher Erstellung fehlerhaf- ter Datensätze und vorsätzlicher Unterlassung der Überprüfung der heraus- zugebenden Daten auf ihre Relevanz, befangen (vgl. separates Verfahren</w:t>
      </w:r>
    </w:p>
    <w:p>
      <w:r>
        <w:t>- 7 -</w:t>
      </w:r>
    </w:p>
    <w:p>
      <w:r>
        <w:t>RR.2023.45). Die Befangenheit der Gesuchsgegnerin leitet sie hingegen ein- zig aus dem Umstand ab, dass diese offensichtlich die Schreiben von C. anfertige, welche dieser schliesslich allenfalls korrigiere und unterzeichne. Jedenfalls nehme die Gesuchsgegnerin massgeblich an der Entscheidungs- bildung teil. Dies gehe bereits aus dem Stellenbeschrieb für Assistenz- Staatsanwältinnen hervor. Zudem sei ihr Mitwirken an den diversen Schrei- ben der Bundesanwaltschaft auch durch das Aufführen ihres Namens und ihrer Funktion auf den ersten Seiten der Schreiben festgehalten. Schliesslich sei sie die leitende Person der Hausdurchsuchung vom 23. März 2023 in der Wohnung von E. gewesen (act. 1 S. 22). Die Gesuchsgegnerin führt in ihrer Gesuchsantwort aus, sie unterstütze seit Mai 2022 den verfahrensleitenden Staatsanwalt C. im Verfahren RH.20.0290, zunächst als Assistenz-Staats- anwältin und seit dem 24. März 2023 als ad interim Staatsanwältin des Bun- des (act. 3 S. 2).</w:t>
      </w:r>
    </w:p>
    <w:p>
      <w:r>
        <w:t>Die Gesuchstellerin verkennt, dass selbst eine allfällige Befangenheit der Führungsverantwortlichen nicht automatisch zur Annahme einer solchen auf Seiten der in den einzelnen Verfahren ermittelnden Staatsanwälte sowie den diesen unterstellten Personen führt (vgl. E. 2.1.2). Darauf wurde die Gesuch- stellerin bereits im Verfahren RR.2021.112 hingewiesen. Die Gesuchstellerin macht in ihrem Gesuch keinerlei anderweitige Umstände in der Person von B. geltend, welche deren angebliche Befangenheit begründen könnten. Auf das gegen B. gerichtete Ausstandsbegehren ist daher mangels Substanziie- rung nicht einzutreten.</w:t>
      </w:r>
    </w:p>
    <w:p>
      <w:r>
        <w:rPr>
          <w:b/>
        </w:rPr>
        <w:t>E. 3</w:t>
      </w:r>
    </w:p>
    <w:p>
      <w:r>
        <w:t>Mit der Erledigung des vorliegenden Ausstandsverfahrens erweist sich der prozessuale Antrag auf Anweisung der Bundesanwaltschaft um Sistierung des Rechtshilfeverfahrens als gegenstandslos.</w:t>
      </w:r>
    </w:p>
    <w:p>
      <w:r>
        <w:rPr>
          <w:b/>
        </w:rPr>
        <w:t>E. 4</w:t>
      </w:r>
    </w:p>
    <w:p>
      <w:r>
        <w:t>Bei diesem Ausgang des Verfahrens sind die Gerichtskosten der Gesuch- stellerin aufzuerlegen (Art. 63 Abs. 1 VwVG). Die Gerichtsgebühr ist auf Fr. 3'000.-- festzusetzen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