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RR.2023.37 vom 6. Juli 2023</w:t>
      </w:r>
    </w:p>
    <w:p>
      <w:r>
        <w:t>Bundesstrafgericht, 2023-07-06, DE</w:t>
      </w:r>
    </w:p>
    <w:p>
      <w:r>
        <w:rPr>
          <w:b/>
        </w:rPr>
        <w:t xml:space="preserve">Quelle: </w:t>
      </w:r>
      <w:r>
        <w:t>https://mcp.opencaselaw.ch/entscheid/bstger_RR.2023.37</w:t>
      </w:r>
    </w:p>
    <w:p>
      <w:r>
        <w:t>FR: TPF RR.2023.37 du 6 juillet 2023</w:t>
      </w:r>
    </w:p>
    <w:p>
      <w:r>
        <w:t>IT: TPF RR.2023.37 del 6 luglio 2023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zur Anwendung (TPF 2009 111 E. 1.2 S. 113). Günstigere Bestimmungen bilateraler oder multilateraler Überein- künfte zwischen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 IV 250 E. 3; 140 IV 123 E. 2). Vorbehalten bleibt die Wahrung der Men- schenrechte (BGE 145 IV 294 E. 2.1; 123 II 595 E. 7c; TPF 2016 65 E. 1.2). Auf Beschwerdeverfahren in internationalen Rechtshilfeangelegenheiten sind zudem die Bestimmungen des Bundesgesetzes vom 20. Dezember 1968 über das Verwaltungsverfahren (Verwaltungsverfahrensgesetz, VwVG; SR 172.021) anwendbar (Art. 39 Abs. 2 lit. b i.V.m. Art. 37 Abs. 2 lit. a Ziff. 1 des Bundesgesetzes vom 19. März 2010 über die Organisation der Strafbe- hörden des Bundes [StBOG; SR 173.71]), wenn das IRSG nichts anderes bestimmt (siehe Art. 12 Abs. 1 IRSG).</w:t>
      </w:r>
    </w:p>
    <w:p>
      <w:r>
        <w:rPr>
          <w:b/>
        </w:rPr>
        <w:t>E. 2.1</w:t>
      </w:r>
    </w:p>
    <w:p>
      <w:r>
        <w:t>Beim angefochtenen Entscheid handelt es sich um eine Schlussverfügung in internationalen Rechtshilfeangelegenheiten, gegen welche innert 30 Ta- gen ab der schriftlichen Mitteilung bei der Beschwerdekammer des Bundes-</w:t>
      </w:r>
    </w:p>
    <w:p>
      <w:r>
        <w:t>- 4 -</w:t>
      </w:r>
    </w:p>
    <w:p>
      <w:r>
        <w:t>strafgerichts Beschwerde geführt werden kann (Art. 80e Abs. 1 i.V.m. Art. 80k IRSG; Art. 37 Abs. 2 lit. a Ziff. 1 StBOG). Die angefochtene Schluss- verfügung erging am 9. März 2023, so dass sich die am 11. April 2023 erho- bene Beschwerde als fristgerecht erweist.</w:t>
      </w:r>
    </w:p>
    <w:p>
      <w:r>
        <w:rPr>
          <w:b/>
        </w:rPr>
        <w:t>E. 2.2</w:t>
      </w:r>
    </w:p>
    <w:p>
      <w:r>
        <w:t>Zur Beschwerdeführung ist berechtigt, wer persönlich und direkt von einer Rechtshilfemassnahme betroffen ist und ein schutzwürdiges Interesse an deren Aufhebung oder Änderung hat (Art. 21 Abs. 3 und 80h lit. b IRSG). Ein schutzwürdiges Interesse liegt nicht schon dann vor, wenn jemand irgend- eine Beziehung zum Streitobjekt zu haben behauptet. Vielmehr muss eine vom einschlägigen Bundesrecht erfasste «spezifische Beziehungsnähe» dargetan sein. Eine bloss mittelbare Betroffenheit genügt hingegen nicht (BGE 137 IV 134 E. 5.2.1; 128 II 211 E. 2.3; TPF 2020 180 E. 2.1). So ist für bloss indirekt Betroffene, insbesondere Personen, die zwar in den erhobe- nen Unterlagen erwähnt werden, aber nicht direkt von Zwangsmassnahmen betroffen bzw. Inhaber von sichergestellten Dokumenten sind, die Beschwer- debefugnis grundsätzlich zu verneinen (BGE 137 IV 134 E. 5.2.2; 128 II 211 E. 2.3; 123 II 153 E. 2b).</w:t>
      </w:r>
    </w:p>
    <w:p>
      <w:r>
        <w:rPr>
          <w:b/>
        </w:rPr>
        <w:t>E. 2.3</w:t>
      </w:r>
    </w:p>
    <w:p>
      <w:r>
        <w:t>Der Beschwerdeführer 2 ist nicht legitimiert, Anträge bezüglich des Polizei- berichts vom 7. März 2023 zu stellen (vgl. TPF 2020 180 E. 4.8.3, 4.5.3), da dieser nicht bei ihm sichergestellt, sondern von Behörden angefertigt wurde. Die angeordnete Zwangsmassnahme (Edition der Kontounterlagen der Beschwerdeführerin 1) trifft ihn ebenso wenig persönlich und direkt. Damit ist auf seine Beschwerde mangels Beschwerdelegitimation nicht einzutreten. Die Beschwerdeführerin 1 ist sodann nicht legitimiert, die Schwärzung von Namen von Überweisungsempfängern zum Schutz von deren personen- bezogenen Daten zu verlangen (vgl. act. S. 9 Ziff. 21; act. 9 S. 2 Ziff. 30), da sie damit kein eigenes schutzwürdiges persönliches Interesse geltend macht (vgl. ZIMMERMANN, La coopération judiciaire internationale en matière pé- nale, 5. Aufl. 2019, N. 524 S. 555).</w:t>
      </w:r>
    </w:p>
    <w:p>
      <w:r>
        <w:rPr>
          <w:b/>
        </w:rPr>
        <w:t>E. 2.4</w:t>
      </w:r>
    </w:p>
    <w:p>
      <w:r>
        <w:t>Im Übrigen ist auf die Beschwerde der Beschwerdeführerin 1 einzutreten.</w:t>
      </w:r>
    </w:p>
    <w:p>
      <w:r>
        <w:rPr>
          <w:b/>
        </w:rPr>
        <w:t>E. 3.1</w:t>
      </w:r>
    </w:p>
    <w:p>
      <w:r>
        <w:t>Die Schlussverfügung vom 9. März 2023 der Staatsanwaltschaft des Kan- tons Zug begründet die wesentlichen Punkte. Sie erlaubte es der Beschwer- deführerin, sich über die Tragweite des Entscheids Rechenschaft geben und ihn in voller Kenntnis der Sache an die Beschwerdekammer weiterzuziehen (vgl. BGE 148 III 30 E. 3.1). Entgegen den Vorbringen der Beschwerdefüh- rerin (act. 1 S. 10 f.; act. 9 Rz. 28) liegt eine genügende Begründung und damit keine Gehörsverletzung vor.</w:t>
      </w:r>
    </w:p>
    <w:p>
      <w:r>
        <w:t>- 5 -</w:t>
      </w:r>
    </w:p>
    <w:p>
      <w:r>
        <w:rPr>
          <w:b/>
        </w:rPr>
        <w:t>E. 3.2</w:t>
      </w:r>
    </w:p>
    <w:p>
      <w:r>
        <w:t>Die Beschwerdekammer ist nicht an die Begehren der Parteien gebunden (Art. 25 Abs. 6 IRSG) und prüft die bei ihr erhobenen Rügen grundsätzlich mit freier Kognition. Sie ist aber nicht verpflichtet, nach weiteren der Gewäh- rung der Rechtshilfe allenfalls entgegenstehenden Gründen zu forschen, die aus der Beschwerde nicht hervorgehen (BGE 132 Il 81 E. 1.4; 130 Il 337 E. 1.4; TPF 2011 97 E. 5).</w:t>
      </w:r>
    </w:p>
    <w:p>
      <w:r>
        <w:rPr>
          <w:b/>
        </w:rPr>
        <w:t>E. 4</w:t>
      </w:r>
    </w:p>
    <w:p>
      <w:r>
        <w:t>Das Rechtshilfeersuchen vom 30. Dezember 2022 schildert folgenden Sach- verhalt: Eine bislang unbekannte Täterschaft, die unter dem Namen «A. AG/F.» handle, habe über verschiedene Zahlungsdienstleister wie G., H., I. und wei- tere vom Konto des J. allein zwischen dem 30. Juli 2018 und 29. August 2019 in 40 Fällen unberechtigterweise Beträge zu je EUR 96.– abgebucht. Gemäss Verwendungszweck handle es sich dabei ausschliesslich um Bei- träge für Systemlottospiele. Bei 13 Abbuchungen des Zahlungsdienstleis- ters G. und 3 Abbuchungen des Zahlungsdienstleisters H. handle es sich um Abbuchungen eines Zahlungsdienstleisters mit Sitz in Malta, welcher für die schweizerischen Unternehmungen C. AG und Lottoanbieter K. tätig gewor- den sei. Aus den Kontounterlagen des Zahlungsdienstleisters H. (der im Juli 2019 zwei Abbuchungen vom Konto des Geschädigten J. erhalten habe) ergebe sich, dass in vier Fällen (Juli–Oktober 2019, je Monatsanfang) erhebliche Beträge zwischen EUR 18'000.– und EUR 57'000.– auf das Konto der A. AG IBAN 1 bei der Bank E. geflossen seien. Es habe zahlreiche Rückbuchungen gegeben, vor allem aufgrund von Lastschriftwidersprüchen.</w:t>
      </w:r>
    </w:p>
    <w:p>
      <w:r>
        <w:t>B. sei Käufer und einziges Verwaltungsratsmitglied der C. AG (heute A. AG). Es sei davon auszugehen, dass der Firmenname der C. AG von einer unbe- kannten Täterschaft missbraucht worden sei. B. sei bezüglich der C. AG auch als wirtschaftlich Berechtigter und Direktor angegeben worden, das Bu- siness als «L., Produktname F.». B. soll in seiner Funktion als Geschäftsfüh- rer zwei Verträge mit des Zahlungsdienstleisters H.. vom 16. Mai 2019 und vom 28. Mai 2019 unterzeichnet haben. Eine Passkopie von B., Nummer […], liege den Unterlagen bei.</w:t>
      </w:r>
    </w:p>
    <w:p>
      <w:r>
        <w:t>Insgesamt bestehe der Verdacht, dass sich die unter den Firmen A. AG bzw. C. AG handelnden Personen des gewerbsmässigen Betruges schuldig ge- macht haben könnten, indem sie der Bank des Anzeigeerstatters vorspiegeln liessen, zu den Abbuchungen vertraglich berechtigt zu sein. Sowohl ein</w:t>
      </w:r>
    </w:p>
    <w:p>
      <w:r>
        <w:t>- 6 -</w:t>
      </w:r>
    </w:p>
    <w:p>
      <w:r>
        <w:t>Missbrauch der Firmendaten und Personaldaten von B. bzw. dessen allfäl- lige Täterschaft seien derzeit nicht auszuschliessen.</w:t>
      </w:r>
    </w:p>
    <w:p>
      <w:r>
        <w:rPr>
          <w:b/>
        </w:rPr>
        <w:t>E. 5.1</w:t>
      </w:r>
    </w:p>
    <w:p>
      <w:r>
        <w:t>Die Beschwerdeführerin rügt die Verletzung des Grundsatzes der Verhält- nismässigkeit. Die ersuchende Behörde habe nur Kontounterlagen für den Zeitraum vom 1. Juli 2019 bis 15. Oktober 2019 verlangt. Vor diesem Datum sei das Konto gar nicht involviert. Die Staatsanwaltschaft gebe Dokumente heraus, die gar nicht verlangt worden seien. In den Akten würden zahlreiche weitere Personen erwähnt, die keinerlei Zusammenhang zum Rechtshilfeer- suchen, insbesondere in zeitlicher Hinsicht, hätten. Dass es «unumgänglich» sei, sämtliche Unterlagen zu übermitteln, überzeuge nicht zur Erklärung, weshalb nicht nur die erfragten Unterlagen herauszugeben seien. Es sei nicht nachvollziehbar, dass z.B. auch das Übermittlungsschreiben der Bank, Eröffnungsunterlagen oder interne Bankdokumentationen ebenfalls für die Ermittlung des Sachverhalts «unumgänglich» seien. Die ersuchende Be- hörde interessiere sich primär für Zahlungsflüsse (act. 1 S. 9–12; act. 9).</w:t>
      </w:r>
    </w:p>
    <w:p>
      <w:r>
        <w:rPr>
          <w:b/>
        </w:rPr>
        <w:t>E. 5.2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128 II 407 E. 6.3.1; 122 II 367 E. 2c; TPF 2009 161 E. 5.1). Hierbei ist auch zu beachten, dass für das ausländische Straf- verfahren nicht nur belastende, sondern auch entlastende Beweismittel von Bedeutung sein können, um einen bestehenden Verdacht allenfalls zu wi- derlegen (TPF 2011 97 E. 5.1 m.w.H.). Dabei darf die ersuchte Rechtshilfe- behörde über ein im Rechtshilfeersuchen gestelltes Begehren nicht hinaus- gehen (Übermassverbot; BGE 136 IV 82 E. 4.1).</w:t>
      </w:r>
    </w:p>
    <w:p>
      <w:r>
        <w:t>- 7 -</w:t>
      </w:r>
    </w:p>
    <w:p>
      <w:r>
        <w:t>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w:t>
      </w:r>
    </w:p>
    <w:p>
      <w:r>
        <w:rPr>
          <w:b/>
        </w:rPr>
        <w:t>E. 5.3.1</w:t>
      </w:r>
    </w:p>
    <w:p>
      <w:r>
        <w:t>Die deutsche Staatsanwaltschaft ersuchte insbesondere (pag. 178) um die Einholung von Kontoauskünften bezüglich des Bankkontos IBAN 1 für den Zeitraum vom 1. Juli 2019 bis zum 15. Oktober 2019. Sie interessiert sich auch für Informationen über Inhaber und Verfügungsberechtigte des ge- nannten Kontos im aufgeführten Zeitraum (insbesondere Name, Adresse, Funktion).</w:t>
      </w:r>
    </w:p>
    <w:p>
      <w:r>
        <w:rPr>
          <w:b/>
        </w:rPr>
        <w:t>E. 5.3.2</w:t>
      </w:r>
    </w:p>
    <w:p>
      <w:r>
        <w:t>Der erhobene Postenauszug vom 1. Juli bis 15. Oktober 2019 zum rechts- hilfebetroffenen Bankkonto (pag. 133 f.) zeigt vier Gutschriften des Zahlungs- dienstleisters H. und sechs Gutschriften des Zahlungsdienstleisters I. Sämt- liche Gutschriften erfolgten von diesen Zahlungsdienstleistern. Für genau diese Zahlungsdienstleister interessiert sich die ermittelnde deutsche Staats- anwaltschaft (vgl. obige Erwägung 3). Das Bankkonto ist damit in die deut- sche Strafuntersuchung verstrickt und die Bankbeziehung dafür potenziell erheblich.</w:t>
      </w:r>
    </w:p>
    <w:p>
      <w:r>
        <w:rPr>
          <w:b/>
        </w:rPr>
        <w:t>E. 5.3.3</w:t>
      </w:r>
    </w:p>
    <w:p>
      <w:r>
        <w:t>Die Beschwerdeführerin bestreitet die Verhältnismässigkeit der Herausgabe ohne auf die Dokumente einzeln einzugehen. Die Eröffnungsunterlagen des Bankkontos sind unentbehrlich, um die Verantwortlichen zu eruieren sowie die wirtschaftlichen Zusammenhänge einzuordnen, und sind daher heraus- zugeben. Wesentlich und herauszugeben sind auch die erhobenen Kontakte zwischen Bank und Kunde, namentlich das Journal der Bankkundenbezie- hung (pag. 126–132). Für die deutschen Ermittler ist potenziell erheblich, dass die Bank das Konto der Gesellschaft von sich aus mit Verweis gerade auf die Zahlungsdienstleister kündigte (pag. 128). Das Übermittlungsschrei- ben der Bank dokumentiert die Herkunft der Unterlagen und ist ebenfalls herauszugeben. Selbstredend ist schliesslich zentral und von Ermittlungsin- teresse im deutschen Strafverfahren, wohin die Gelder vom Konto</w:t>
      </w:r>
    </w:p>
    <w:p>
      <w:r>
        <w:t>- 8 -</w:t>
      </w:r>
    </w:p>
    <w:p>
      <w:r>
        <w:t>abgeflossen sind. Wie die Vorinstanz richtig dartut, hat die ersuchende Be- hörde die verantwortlichen Personen zu ermitteln (act. 6 S. 3 Ziff. 2.3).</w:t>
      </w:r>
    </w:p>
    <w:p>
      <w:r>
        <w:rPr>
          <w:b/>
        </w:rPr>
        <w:t>E. 5.4</w:t>
      </w:r>
    </w:p>
    <w:p>
      <w:r>
        <w:t>Damit gehen die erhobenen Rügen fehl. Die Herausgabe der Kontounterla- gen erweist sich als verhältnismässig.</w:t>
      </w:r>
    </w:p>
    <w:p>
      <w:r>
        <w:rPr>
          <w:b/>
        </w:rPr>
        <w:t>E. 6</w:t>
      </w:r>
    </w:p>
    <w:p>
      <w:r>
        <w:t>Insgesamt ist die angefochtene Schlussverfügung der Staatsanwaltschaft des Kantons Zug vom 9. März 2023 zu schützen. Die dagegen erhobene Beschwerde ist abzuweisen, soweit darauf einzutreten ist.</w:t>
      </w:r>
    </w:p>
    <w:p>
      <w:r>
        <w:rPr>
          <w:b/>
        </w:rPr>
        <w:t>E. 7</w:t>
      </w:r>
    </w:p>
    <w:p>
      <w:r>
        <w:t>Bei diesem Ausgang des Verfahrens werden die Beschwerdeführer kosten- pflichtig (vgl. Art. 63 Abs. 1 VwVG). Die Gerichtsgebühr ist auf Fr. 5'000.– festzusetzen (Art. 63 Abs. 5 VwVG i.V.m. Art. 73 StBOG sowie Art. 5 und 8 Abs. 3 lit. a des Reglements des Bundesstrafgerichts vom 31. August 2010 über die Kosten, Gebühren und Entschädigungen in Bundesstrafverfahren [BStKR; SR 173.713.162]) und den Beschwerdeführern solidarisch aufzuer- legen, unter Anrechnung des entsprechenden Betrages aus dem geleisteten Kostenvorschuss von Fr. 5'000.– (act. 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