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RR.2023.36 vom 10. August 2023</w:t>
      </w:r>
    </w:p>
    <w:p>
      <w:r>
        <w:t>Bundesstrafgericht, 2023-08-10, FR</w:t>
      </w:r>
    </w:p>
    <w:p>
      <w:r>
        <w:rPr>
          <w:b/>
        </w:rPr>
        <w:t xml:space="preserve">Quelle: </w:t>
      </w:r>
      <w:r>
        <w:t>https://mcp.opencaselaw.ch/entscheid/bstger_RR.2023.36</w:t>
      </w:r>
    </w:p>
    <w:p>
      <w:r>
        <w:t>FR: TPF RR.2023.36 du 10 août 2023</w:t>
      </w:r>
    </w:p>
    <w:p>
      <w:r>
        <w:t>IT: TPF RR.2023.36 del 10 agosto 2023</w:t>
      </w:r>
    </w:p>
    <w:p>
      <w:pPr>
        <w:pStyle w:val="Heading2"/>
      </w:pPr>
      <w:r>
        <w:t>Regeste</w:t>
      </w:r>
    </w:p>
    <w:p>
      <w:r>
        <w:t>Entraide judiciaire internationale en matière pénale à la Belgique; saisie de valeurs (art. 80e al. 2 let. a EIMP)</w:t>
      </w:r>
    </w:p>
    <w:p>
      <w:pPr>
        <w:pStyle w:val="Heading2"/>
      </w:pPr>
      <w:r>
        <w:t>Erwägungen</w:t>
      </w:r>
    </w:p>
    <w:p>
      <w:r>
        <w:rPr>
          <w:b/>
        </w:rPr>
        <w:t>E. 1.1</w:t>
      </w:r>
    </w:p>
    <w:p>
      <w:r>
        <w:t>L’entraide judiciaire entre la Belgique et la Confédération suisse est prioritairement régie par la Convention européenne d’entraide judiciaire en matière pénale du 20 avril 1959 (CEEJ; RS 0.351.1), entrée en vigueur pour la Suisse le 20 mars 1967 et pour la Belgique le 11 novembre 1975, par son Deuxième protocole additionnel, entré en vigueur pour la Suisse le 1er février 2005 et pour la Belgique le 1er juillet 2009 (RS 0.351.12). Les art. 48 ss de la Convention d'application de l'Accord de Schengen du 14 juin 1985 (CAAS; n. CELEX 42000A0922[02]; Journal officiel de l'Union européenne L 239 du 22 septembre 2000, p. 19-62) s'appliquent également à l'entraide pénale entre la Suisse ces deux Etats. Peuvent aussi s'appliquer, en l'occurrence, la Convention européenne relative au blanchiment, au dépistage, à la saisie et à la confiscation des produits du crime (CBl;</w:t>
      </w:r>
    </w:p>
    <w:p>
      <w:r>
        <w:t>- 4 -</w:t>
      </w:r>
    </w:p>
    <w:p>
      <w:r>
        <w:t>RS 0.311.53), entrée en vigueur pour la Suisse le 1er septembre 1993 et pour la Belgique le 1er mai 1998, et la Convention des Nations Unies contre la corruption du 31 octobre 2003 (UNCAC; RS 0.311.56), entrée en vigueur pour la Suisse le 24 octobre 2009 et pour la Belgique le 25 octobre 2008, en particulier, s’agissant du blanchiment d’argent (indépendamment de la nature du crime préalable), les art. 43 ss, en particulier l’art. 46, par renvoi des art. 14 et 23, ainsi que la Convention des Nations Unies contre le trafic illicite de stupéfiants et de substances psychotropes, conclue à Vienne le 20 décembre 1988 (RS 0.812.121.03), entrée en vigueur pour la Suisse le 13 décembre 2005 et pour l'Etat requérant le 23 janvier 1996.</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147 II 432 consid. 3;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145 IV 294 consid. 2.1; 135 IV 212 consid. 2.3; 123 II 595 consid. 7c; v. arrêt du Tribunal fédéral 1C_196/2021 du 28 mai 2021 consid. 3.4 non publié in ATF 147 II 432).</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de même que contre les décisions incidentes antérieures à la décision de clôture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20 décembre 1968 (PA; RS 172.021) sont, en outre, applicables à la présente procédure de recours (art. 12 al. 1 EIMP, art. 39 al. 2 let. b en lien avec l’art. 37 al. 2 let. a ch. 1 de la loi fédérale sur l’organisation des autorités pénales de la Confédération du 19 mars 2010 [LOAP; RS 173.71]).</w:t>
      </w:r>
    </w:p>
    <w:p>
      <w:r>
        <w:t>- 5 -</w:t>
      </w:r>
    </w:p>
    <w:p>
      <w:r>
        <w:rPr>
          <w:b/>
        </w:rPr>
        <w:t>E. 1.4</w:t>
      </w:r>
    </w:p>
    <w:p>
      <w:r>
        <w:t>Titulaire des relations bancaires sur lesquelles sont déposées les valeurs patrimoniales dont le MPC ordonne la saisie, la recourante dispose de la qualité pour recourir contre le prononcé entrepris (art. 80h let. b EIMP et 9a let. a et b OEIMP; ATF 137 IV 134 consid. 5; 118 Ib 547 consid. 1d).</w:t>
      </w:r>
    </w:p>
    <w:p>
      <w:r>
        <w:rPr>
          <w:b/>
        </w:rPr>
        <w:t>E. 2</w:t>
      </w:r>
    </w:p>
    <w:p>
      <w:r>
        <w:t>avril 2002 consid. 3; arrêts du Tribunal pénal fédéral RR.2015.319 du</w:t>
      </w:r>
    </w:p>
    <w:p>
      <w:r>
        <w:rPr>
          <w:b/>
        </w:rPr>
        <w:t>E. 2.1.1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Quant à la notion de préjudice immédiat et irréparable au sens de la disposition précitée, elle doit être interprétée de manière restrictive (arrêt du Tribunal fédéral 1C_489/2021 du 27 septembre 2022 consid. 2.2; arrêt du Tribunal pénal fédéral RR.2022.164 du 19 janvier 2023 et références citées).</w:t>
      </w:r>
    </w:p>
    <w:p>
      <w:r>
        <w:rPr>
          <w:b/>
        </w:rPr>
        <w:t>E. 2.1.2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(ZIMMERMANN, La coopération judiciaire internationale en matière pénale, 5e éd. 2019, n.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rPr>
          <w:b/>
        </w:rPr>
        <w:t>E. 2.1.3</w:t>
      </w:r>
    </w:p>
    <w:p>
      <w:r>
        <w:t>De surcroît, l’éventuel préjudice ne doit pas simplement être allégué par le recourant, mais rendu vraisemblable sur la base d’éléments spécifiques et concrets; la seule nécessité de faire face à des dépenses administratives</w:t>
      </w:r>
    </w:p>
    <w:p>
      <w:r>
        <w:t>- 6 -</w:t>
      </w:r>
    </w:p>
    <w:p>
      <w:r>
        <w:t>courantes ne suffit pas, en règle générale, à rendre vraisemblable un préjudice immédiat et irréparable (ATF 130 II 329 consid. 2; arrêts du Tribunal fédéral 1A.206/2001 du 9 janvier 2002 consid. 2.2; 1A.39/2002 du</w:t>
      </w:r>
    </w:p>
    <w:p>
      <w:r>
        <w:rPr>
          <w:b/>
        </w:rPr>
        <w:t>E. 2.1.4</w:t>
      </w:r>
    </w:p>
    <w:p>
      <w:r>
        <w:t>La recourante estime subir un préjudice immédiat et irréparable du fait du séquestre, en tant qu’elle ne pourrait continuer son activité commerciale. Le séquestre de ses deux seules relations bancaires l’empêcherait d’honorer ses factures ouvertes et transactions en cours, ainsi que de conclure de nouvelles affaires, de sorte que sa viabilité serait en péril. Au jour du dépôt du recours, ses dettes principales s’élèveraient à CHF 213'029.--, sous forme de quatre factures à payer, des 10, 14, 29 et 30 mars 2023, auxquelles s’ajouteraient ses charges courantes, dont un loyer de CHF 753.--, la rémunération de son gérant, ainsi que les frais de téléphonie, d’internet, d’électricité et d’eau (act. 1). Dans sa réplique, elle ajoute avoir reçu, depuis le dépôt de son recours, deux factures des 18 et 31 mars 2023, à hauteur de CHF 1'785.-- et 21'730.--, ainsi qu’un premier commandement de payer, le 19 mai 2023, pour une somme de CHF 6'975.45, suite à un rappel de paiement du 26 avril 2023, d’une facture n’ayant pu être honorée, en raison du séquestre (act. 12).</w:t>
      </w:r>
    </w:p>
    <w:p>
      <w:r>
        <w:rPr>
          <w:b/>
        </w:rPr>
        <w:t>E. 2.1.5</w:t>
      </w:r>
    </w:p>
    <w:p>
      <w:r>
        <w:t>En l’espèce, outre les charges courantes – pour la plupart, non chiffrées – et factures précitées, le seul commandement de payer que la recourante allègue avoir reçu ne suffit pas, en l’état, à établir une perspective sérieuse et rapprochée de préjudice, avant le prononcé d’une décision de clôture concernant la transmission de la documentation bancaire requise (v. supra Faits, let. A), devant intervenir ultérieurement. La survenance « à terme », comme elle le mentionne elle-même, soit à une date indéterminée, d’une procédure de faillite relève, à ce stade de l’hypothèse, pour une société se prévalant d’une « parfaite santé financière » avant le blocage de ses comptes (act. 1, p. 12, et 12, p. 3). Quant à l’impossibilité de poursuivre ses affaires d’achat et de vente de montres, accessoires horlogers et bijoux, la recourante se limite à alléguer que ses clients et fournisseurs refuseraient</w:t>
      </w:r>
    </w:p>
    <w:p>
      <w:r>
        <w:t>- 7 -</w:t>
      </w:r>
    </w:p>
    <w:p>
      <w:r>
        <w:t>de travailler avec elle, en raison du blocage de ses comptes et de l’incidence de la procédure pénale sur la réputation de son administrateur unique, dont le prénom et l’initiale du nom de famille sont les mêmes que ceux du prévenu, publiés dans un article de presse. Ces griefs ne permettent pas de retenir l’existence d’un préjudice immédiat et irréparable.</w:t>
      </w:r>
    </w:p>
    <w:p>
      <w:r>
        <w:rPr>
          <w:b/>
        </w:rPr>
        <w:t>E. 2.1.6</w:t>
      </w:r>
    </w:p>
    <w:p>
      <w:r>
        <w:t>La recourante ne fait valoir aucun argument permettant de conclure, à ce stade de la procédure, à l’irrecevabilité manifeste de la demande d’entraide (v. ATF 121 II 241 consid. 3; décision du Tribunal fédéral 1A.258/2006 du 16 février 2007 consid. 2.3). S’agissant du degré d’implication de la recourante dans les faits sous enquête en Belgique, il convient de relever, que, selon la jurisprudence, celui dont le compte bancaire pourrait avoir servi, même à son insu, à commettre une infraction, voire à transférer ou à dissimuler le produit d'une infraction ne peut en principe pas être considéré comme un tiers non impliqué (v. ATF 139 II 451 consid. 2.2.3; 126 II 126 consid. 6a/bb p. 137 avec renvois; arrêt du Tribunal fédéral 2A.155/2000 du 21 août 2000 consid. 5c).</w:t>
      </w:r>
    </w:p>
    <w:p>
      <w:r>
        <w:t>3. Au vu des éléments qui précèdent, le recours doit être déclaré irrecevable.</w:t>
      </w:r>
    </w:p>
    <w:p>
      <w:r>
        <w:t>4. En règle générale, les frais de procédure comprenant l'émolument d'arrêt, les émoluments de chancellerie et les débours sont mis à la charge de la partie qui succombe (art. 63 al. 1 PA, applicable par renvoi de l'art. 39 LOAP). En tant que partie qui succombe, la recourante doit supporter les frais du présent arrêt, lesquels sont fixés à CHF 3’000.-- (v. art. 73 al. 2 LOAP, art. 8 al. 3 let. a du règlement du Tribunal pénal fédéral sur les frais, émoluments, dépens, et indemnités de la procédure pénale fédérale [RFPPF; RS 173.713.162] et art. 63 al. 5 PA), montant couvert par l’avance de frais déjà versée. Le solde, par CHF 2'000.--, lui sera restitué par la Caisse du Tribunal pénal fédéral.</w:t>
      </w:r>
    </w:p>
    <w:p>
      <w:r>
        <w:t>- 8 -</w:t>
      </w:r>
    </w:p>
    <w:p>
      <w:r>
        <w:rPr>
          <w:b/>
        </w:rPr>
        <w:t>E. 7</w:t>
      </w:r>
    </w:p>
    <w:p>
      <w:r>
        <w:t>janvier 2016; RR.2007.126 du 26 septembre 2007 consid. 2.3); de même, le recourant doit rendre vraisemblable qu’il ne dispose pas d’autres ressources financières en suffisance pour faire face à ses obligations (v. arrêt du Tribunal fédéral 1A.130/2006 du 28 juillet 2006 consid. 1.3; arrêts du Tribunal pénal fédéral RR.2021.219-221+230-232 du 3 novembre 2021;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 arrêt du Tribunal fédéral RR.2021.128 du 1er juillet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