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RR.2023.29 vom 17. Juli 2023</w:t>
      </w:r>
    </w:p>
    <w:p>
      <w:r>
        <w:t>Bundesstrafgericht, 2023-07-17, DE</w:t>
      </w:r>
    </w:p>
    <w:p>
      <w:r>
        <w:rPr>
          <w:b/>
        </w:rPr>
        <w:t xml:space="preserve">Quelle: </w:t>
      </w:r>
      <w:r>
        <w:t>https://mcp.opencaselaw.ch/entscheid/bstger_RR.2023.29</w:t>
      </w:r>
    </w:p>
    <w:p>
      <w:r>
        <w:t>FR: TPF RR.2023.29 du 17 juillet 2023</w:t>
      </w:r>
    </w:p>
    <w:p>
      <w:r>
        <w:t>IT: TPF RR.2023.29 del 17 luglio 2023</w:t>
      </w:r>
    </w:p>
    <w:p>
      <w:pPr>
        <w:pStyle w:val="Heading2"/>
      </w:pPr>
      <w:r>
        <w:t>Regeste</w:t>
      </w:r>
    </w:p>
    <w:p>
      <w:r>
        <w:t>Internationale Rechtshilfe in Strafsachen an Lettland;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Für die Rechtshilfe zwischen Lettland und der Schweiz sind in erster Linie das Europäische Übereinkommen über die Rechtshilfe in Strafsachen vom 20. April 1959 (EUeR; SR 0.351.1) sowie das Zweite Zusatzprotokoll vom 8. November 2001 zum Europäischen Übereinkommen über die Rechtshilfe in Strafsachen (SR 0.351.12; Zweites Zusatzprotokoll) anwendbar. Zur An- wendung kommt vorliegend auch das Übereinkommen vom 8. Novem- ber 1990 über Geldwäscherei sowie Ermittlung, Beschlagnahme und Einzie- hung von Erträgen aus Straftaten (Geldwäschereiübereinkommen, GwUe; SR 0.311.53). Überdies gelangen die Bestimmungen der Art. 48 ff. des Über- einkommens vom 19. Juni 1990 zur Durchführung des Übereinkommens von Schengen vom 14. Juni 1985 (Schengener Durchführungsübereinkommen, SDÜ; ABl. L 239 vom 22. September 2000, S. 19-62) zur Anwendung, wobei die zwischen den Vertragsparteien geltenden weitergehenden Bestimmun- gen aufgrund bilateraler Abkommen unberührt bleiben (Art. 48 Abs. 2 SDÜ; Art. 26 Abs. 2 und 3 EUeR; ZIMMERMANN, La coopération judiciaire internati- onale en matière pénale, 5. Aufl. 2019, N. 18-21, 28-40, 77, 109).</w:t>
      </w:r>
    </w:p>
    <w:p>
      <w:r>
        <w:t>Soweit diese Staatsverträge und das Zusatzprotokoll bestimmte Fragen we- der ausdrücklich noch stillschweigend regeln, bzw. das schweizerische Lan- desrecht geringere Anforderungen an die Rechtshilfe stellt (sog. Günstig- keitsprinzip; BGE 142 IV 250 E. 3; 140 IV 123 E. 2; 136 IV 82 E. 3.1; 135 IV 212 E. 2.3; ZIMMERMANN, a.a.O., N. 229), sind das Bundesgesetz vom 20. März 1981 über internationale Rechtshilfe in Strafsachen (IRSG; SR 351.1) und die dazugehörige Verordnung vom 24. Februar 1982 (IRSV; SR 351.11) anwendbar (Art. 1 Abs. 1 IRSG; BGE 143 IV 91 E. 1.3; 136 IV 82 E. 3.2; 130 II 337 E. 1; vgl. auch Art. 54 StPO). Vorbehalten bleibt die Wahrung der Menschenrechte (BGE 139 II 65 E. 5.4 letzter Absatz; 135 IV 212 E. 2.3; 123 II 595 E. 7c; ZIMMERMANN, a.a.O., N. 211 ff., 223 ff., 681 ff.).</w:t>
      </w:r>
    </w:p>
    <w:p>
      <w:r>
        <w:rPr>
          <w:b/>
        </w:rPr>
        <w:t>E. 1.2</w:t>
      </w:r>
    </w:p>
    <w:p>
      <w:r>
        <w:t>Auf das vorliegende Beschwerdeverfahren sind zudem anwendbar die Bestimmungen des Bundesgesetzes vom 20. Dezember 1968 über das Ver- waltungsverfahren (Verwaltungsverfahrensgesetz, VwVG; SR 172.021; Art. 39 Abs. 2 lit. b i.V.m. Art. 37 Abs. 2 lit. a des Bundegesetzes vom</w:t>
      </w:r>
    </w:p>
    <w:p>
      <w:r>
        <w:t>- 6 -</w:t>
      </w:r>
    </w:p>
    <w:p>
      <w:r>
        <w:t>19. März 2010 über die Organisation der Strafbehörden des Bundes [Straf- behördenorganisationsgesetz, StBOG; SR 173.1]).</w:t>
      </w:r>
    </w:p>
    <w:p>
      <w:r>
        <w:rPr>
          <w:b/>
        </w:rPr>
        <w:t>E. 2.1</w:t>
      </w:r>
    </w:p>
    <w:p>
      <w:r>
        <w:t>Die Schlussverfügung der ausführenden kantonalen Behörde oder Bundes- behörde unterliegt zusammen mit den vorangehenden Zwischenverfügun- gen der Beschwerde an die Beschwerdekammer des Bundesstrafgerichts (Art. 25 Abs. 1 und Art. 80e Abs. 1 IRSG i.V.m. Art. 37 Abs. 2 lit. a Ziff. 1 StBOG). Die Beschwerdefrist gegen die Schlussverfügung beträgt 30 Tage ab der schriftlichen Mitteilung der Verfügung (Art. 80k IRSG). Zur Be- schwerde ist berechtigt, wer persönlich und direkt von der Rechtshilfemass- nahme betroffen ist und ein schutzwürdiges Interesse an deren Aufhebung oder Änderung hat (Art. 80h lit. b IRSG). Als persönlich und direkt betroffen in diesem Sinne gilt namentlich der Kontoinhaber bei Erhebung von Konto- informationen (Art. 9a lit. a IRSV).</w:t>
      </w:r>
    </w:p>
    <w:p>
      <w:r>
        <w:rPr>
          <w:b/>
        </w:rPr>
        <w:t>E. 2.2</w:t>
      </w:r>
    </w:p>
    <w:p>
      <w:r>
        <w:t>Die angefochtene Schlussverfügung wurde dem Rechtsvertreter der Be- schwerdeführerin am</w:t>
      </w:r>
    </w:p>
    <w:p>
      <w:r>
        <w:rPr>
          <w:b/>
        </w:rPr>
        <w:t>E. 6</w:t>
      </w:r>
    </w:p>
    <w:p>
      <w:r>
        <w:t>September 2011 E. 6.3). Nachdem der Rechtsvertreter der Beschwerde- führerin dem Gericht keine Kostennote eingereicht hat, ist der Beschwerde- führerin eine pauschale Prozessentschädigung von Fr. 2'000.-- (inkl. MwSt.) zuzusprechen (vgl. Art. 64 Abs. 1 und 2 VwVG; Art. 73 Abs. 1 lit. c StBOG i.V.m. Art. 12 Abs. 2 BStKR). Die Beschwerdegegnerin hat der Beschwerde- führerin eine Entschädigung von Fr. 2'000.-- zu bezahlen.</w:t>
      </w:r>
    </w:p>
    <w:p>
      <w:r>
        <w:t>- 13 -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