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RR.2023.23 vom 13. Juni 2023</w:t>
      </w:r>
    </w:p>
    <w:p>
      <w:r>
        <w:t>Bundesstrafgericht, 2023-06-13, FR</w:t>
      </w:r>
    </w:p>
    <w:p>
      <w:r>
        <w:rPr>
          <w:b/>
        </w:rPr>
        <w:t xml:space="preserve">Quelle: </w:t>
      </w:r>
      <w:r>
        <w:t>https://mcp.opencaselaw.ch/entscheid/bstger_RR.2023.23</w:t>
      </w:r>
    </w:p>
    <w:p>
      <w:r>
        <w:t>FR: TPF RR.2023.23 du 13 juin 2023</w:t>
      </w:r>
    </w:p>
    <w:p>
      <w:r>
        <w:t>IT: TPF RR.2023.23 del 13 giugno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 s'appliquent également à l'entraide pénale entre la Suisse et</w:t>
      </w:r>
    </w:p>
    <w:p>
      <w:r>
        <w:t>- 4 -</w:t>
      </w:r>
    </w:p>
    <w:p>
      <w:r>
        <w:t>le Portugal (v. arrêt du Tribunal pénal fédéral RR.2011.232-234 du 11 octobre 2011 consid. 1). Pour le surplus, la loi fédérale sur l'entraide internationale en matière pénale (EIMP; RS 351.1) et son ordonnance d'exécution (ordonnance sur l'entraide internationale en matière pénale du,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1.3.1</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1.3.2</w:t>
      </w:r>
    </w:p>
    <w:p>
      <w:r>
        <w:t>En l’occurrence, le recourant est titulaire de la relation bancaire dont la transmission de la documentation a été ordonnée dans la décision entreprise, de sorte qu’il est habilité à contester cette dernière.</w:t>
      </w:r>
    </w:p>
    <w:p>
      <w:r>
        <w:rPr>
          <w:b/>
        </w:rPr>
        <w:t>E. 1.4</w:t>
      </w:r>
    </w:p>
    <w:p>
      <w:r>
        <w:t>Déposé dans les 30 jours à compter de la notification de l’acte attaqué (art. 80k EIMP), le recours a été formé en temps utile.</w:t>
      </w:r>
    </w:p>
    <w:p>
      <w:r>
        <w:rPr>
          <w:b/>
        </w:rPr>
        <w:t>E. 1.5</w:t>
      </w:r>
    </w:p>
    <w:p>
      <w:r>
        <w:t>Il y a par conséquent lieu d’entrer en matière sur le recours.</w:t>
      </w:r>
    </w:p>
    <w:p>
      <w:r>
        <w:rPr>
          <w:b/>
        </w:rPr>
        <w:t>E. 2</w:t>
      </w:r>
    </w:p>
    <w:p>
      <w:r>
        <w:t>Le recourant se plaint d’une violation de la loi – notamment des art. 14 al. 1 let. b CEEJ et 74 EIMP – et du principe de proportionnalité. Selon lui, la documentation bancaire dont la transmission a été ordonnée n’a pas été requise dans la demande d’entraide, laquelle se contenterait de solliciter le séquestre conservatoire des valeurs patrimoniales déposées sur le compte</w:t>
      </w:r>
    </w:p>
    <w:p>
      <w:r>
        <w:t>- 5 -</w:t>
      </w:r>
    </w:p>
    <w:p>
      <w:r>
        <w:t>ouvert auprès de la banque C. L’autorité requérante, qui aurait une connaissance détaillée des faits sur lesquels elle enquête en lien avec la relation bancaire litigieuse, aurait volontairement renoncé à demander la transmission de la documentation y relative. Selon le recourant, celle-ci disposerait déjà d’une partie de la documentation bancaire et d’informations quant au compte litigieux, de sorte que si une documentation complémentaire avait présenté un intérêt pour elle, elle en aurait fait la requête expresse. Il faudrait en conclure que le compte ouvert auprès de la banque C. ne l’intéresserait qu’à des fins d’exécution des sanctions pécuniaires et créances susceptibles d’être prononcées, et non à des fins probatoires. Dans ces circonstances, le principe de l’utilité potentielle serait alors inapplicable (act. 1, p. 13 ss).</w:t>
      </w:r>
    </w:p>
    <w:p>
      <w:r>
        <w:rPr>
          <w:b/>
        </w:rPr>
        <w:t>E. 2.1</w:t>
      </w:r>
    </w:p>
    <w:p>
      <w:r>
        <w:t>Le grief de violation de la loi invoqué par le recourant étant intrinsèquement lié à celui de violation du principe de proportionnalité, il doit être traité sous l’angle dudit principe.</w:t>
      </w:r>
    </w:p>
    <w:p>
      <w:r>
        <w:rPr>
          <w:b/>
        </w:rPr>
        <w:t>E. 2.2.1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2.2.2</w:t>
      </w:r>
    </w:p>
    <w:p>
      <w:r>
        <w:t>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w:t>
      </w:r>
    </w:p>
    <w:p>
      <w:r>
        <w:t>- 6 -</w:t>
      </w:r>
    </w:p>
    <w:p>
      <w:r>
        <w:t>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La coopération judiciaire internationale en matière pénale, 5e éd. 2019, n° 723, p. 798 ss).</w:t>
      </w:r>
    </w:p>
    <w:p>
      <w:r>
        <w:rPr>
          <w:b/>
        </w:rPr>
        <w:t>E. 2.2.3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w:t>
      </w:r>
    </w:p>
    <w:p>
      <w:r>
        <w:t>- 7 -</w:t>
      </w:r>
    </w:p>
    <w:p>
      <w:r>
        <w:t>consid. 6.2).</w:t>
      </w:r>
    </w:p>
    <w:p>
      <w:r>
        <w:rPr>
          <w:b/>
        </w:rPr>
        <w:t>E. 2.3</w:t>
      </w:r>
    </w:p>
    <w:p>
      <w:r>
        <w:t>En l’espèce, il ressort de la commission rogatoire du 7 avril 2022 que l’autorité requérante mène une enquête contre le recourant notamment pour abus de confiance aggravé et blanchiment d’argent selon le droit portugais. Il est reproché au recourant d’avoir détourné des fonds de la banque D. à financer l’activité de la banque E. en les transférant sur des comptes ouverts à son nom, à celui de son épouse et de ses enfants ainsi qu’au nom de sociétés pour son propre profit. Se fondant sur une décision du Tribunal central de Instruçað criminal de Lisbonne du 31 mars 2022 ordonnant des mesures conservatoires, la demande d’entraide du 7 avril 2022 a notamment pour but de préserver l’avantage tiré de l’activité criminelle faisant l’objet de l’enquête en cours ainsi que les garanties de paiement d’éventuelles sanctions pécuniaires. Le Ministère public portugais requiert à cet effet la saisie des avoirs déposés sur les comptes bancaires du recourant auprès des banques F. et C. ainsi que sur d’autres comptes dont il n’aurait pas connaissance et qui pourraient être identifiés, de même que la saisie des biens immobiliers en Suisse lui appartenant. Dans cette même demande, le Ministère public portugais sollicite également la production de la documentation bancaire en lien avec deux comptes bancaires sur lesquels une partie de l’avantage tiré de l’activité criminelle est susceptible d’avoir été transférée. Dans ces circonstances, la Cour de céans constate que la remise de la documentation bancaire en lien avec la relation litigieuse, quand bien même elle n’aurait pas été expressément demandée par l’autorité requérante, ne prête pas le flanc à la critique et se justifie pleinement sous l’angle du principe de l’utilité potentielle. En effet, il apparaît que l’enquête pénale contre le recourant est encore en phase d’instruction et les pièces que le MPC souhaite transmettre serviront de complément à celles qui avaient déjà été fournies par décision de clôture du 18 octobre 2017. Elles permettront ainsi au Ministère public portugais de retracer le cheminement des fonds potentiellement criminels et d’identifier, le cas échéant, d’autres relations bancaires qui pourraient ensuite être frappées d’une mesure de blocage. Ce dernier point est d’ailleurs précisément l’un des objets de la commission rogatoire du 7 avril 2022, laquelle requiert spécifiquement des autorités suisses qu’elles identifient les éventuels comptes détenus par le recourant dont le Ministère public portugais n’aurait pas connaissance et qu’elles procèdent au blocage des avoirs qui sont crédités sur ceux-ci. Dite requête démontre que l’autorité requérante est toujours en train d’instruire l’affaire et qu’elle cherche encore à identifier des comptes sur lesquels de l’argent d’origine potentiellement criminelle aurait pu être transféré. Les pièces que le MPC entend lui transmettre lui seront certainement utiles pour ce faire. Par conséquent, la décision du MPC de transmettre la documentation bancaire relative à la relation litigieuse, en sus de bloquer les</w:t>
      </w:r>
    </w:p>
    <w:p>
      <w:r>
        <w:t>- 8 -</w:t>
      </w:r>
    </w:p>
    <w:p>
      <w:r>
        <w:t>avoirs figurant sur celles-ci, ne viole nullement le principe de proportionnalité. Le grief doit donc être rejeté.</w:t>
      </w:r>
    </w:p>
    <w:p>
      <w:r>
        <w:rPr>
          <w:b/>
        </w:rPr>
        <w:t>E. 3</w:t>
      </w:r>
    </w:p>
    <w:p>
      <w:r>
        <w:t>Il s’ensuit que le recours est rejeté.</w:t>
      </w:r>
    </w:p>
    <w:p>
      <w:r>
        <w:rPr>
          <w:b/>
        </w:rPr>
        <w:t>E. 4.1</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4.2</w:t>
      </w:r>
    </w:p>
    <w:p>
      <w:r>
        <w:t>En l’occurrence, le recourant, qui succombe, supportera les frais du présent arrêt, qui sont fixés à CHF 4'000.--; ce montant est entièrement couvert par l’avance de frais déjà versée. Le solde de l’avance, de CHF 1'000.--, lui sera restitué par la caisse du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