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RR.2023.19 vom 18. April 2024</w:t>
      </w:r>
    </w:p>
    <w:p>
      <w:r>
        <w:t>Bundesstrafgericht, 2024-04-18, DE</w:t>
      </w:r>
    </w:p>
    <w:p>
      <w:r>
        <w:rPr>
          <w:b/>
        </w:rPr>
        <w:t xml:space="preserve">Quelle: </w:t>
      </w:r>
      <w:r>
        <w:t>https://mcp.opencaselaw.ch/entscheid/bstger_RR.2023.19</w:t>
      </w:r>
    </w:p>
    <w:p>
      <w:r>
        <w:t>FR: TPF RR.2023.19 du 18 avril 2024</w:t>
      </w:r>
    </w:p>
    <w:p>
      <w:r>
        <w:t>IT: TPF RR.2023.19 del 18 aprile 2024</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Zur Anwendung kommen vorliegend auch die Art. 43 ff. des Übereinkommens der Vereinten Nationen vom 31. Oktober 2003 gegen Kor- ruption (UNCAC; SR 0.311.56) sowie das Übereinkommen vom 8. Novem- ber 1990 über Geldwäscherei sowie Ermittlung, Beschlagnahme und Einzie- hung von Erträgen aus Straftaten (Geldwäschereiübereinkommen, GwUe; SR 0.311.53). Überdies gelangen die Bestimmungen der Art. 48 ff. des Über- einkommens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8.1 Anhang A; https://www.admin.ch/opc/de/euro- pean-union/international-agreements/008.html) zur Anwendung, wobei die zwischen den Vertragsparteien geltenden weitergehenden Bestimmungen aufgrund bilateraler Abkommen unberührt bleiben (Art. 48 Abs. 2 SDÜ; Art. 26 Abs. 2 und 3 EUeR; ZIMMERMANN, La coopération judiciaire inter- nationale en matière pénale, 5. Aufl. 2019, N. 18-21, 28- 40, 77, 109).</w:t>
      </w:r>
    </w:p>
    <w:p>
      <w:r>
        <w:rPr>
          <w:b/>
        </w:rPr>
        <w:t>E. 1.2</w:t>
      </w:r>
    </w:p>
    <w:p>
      <w:r>
        <w:t>Soweit diese Staatsverträge bestimmte Fragen weder ausdrücklich noch still- schweigend regeln, bzw. das schweizerische Landesrecht geringere Anfor- derungen an die Rechtshilfe stellt (sog. Günstigkeitsprinzip; BGE 142 IV 250 E. 3; 140 IV 123 E. 2; 136 IV 82 E. 3.1; 135 IV 212 E. 2.3), sind das Rechts- hilfegesetz und die dazugehörige Verordnung vom 24. Februar 1982 (IRSV; SR 351.11) anwendbar (Art. 1 Abs. 1 IRSG; BGE 143 IV 91 E. 1.3; 136 IV 82 E. 3.2; 130 II 337 E. 1; vgl. auch Art. 54 StPO). Vorbehalten bleibt die Wah- rung der Menschenrechte (BGE 139 II 65 E. 5.4; 135 IV 212 E. 2.3; 123 II 595 E. 7c;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w:t>
      </w:r>
    </w:p>
    <w:p>
      <w:r>
        <w:t>- 7 -</w:t>
      </w:r>
    </w:p>
    <w:p>
      <w:r>
        <w:t>Organisation des Strafbehörden des Bundes [Strafbehördenorganisations- gesetz, StBOG; SR 173.71]).</w:t>
      </w:r>
    </w:p>
    <w:p>
      <w:r>
        <w:rPr>
          <w:b/>
        </w:rPr>
        <w:t>E. 2.1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2.2</w:t>
      </w:r>
    </w:p>
    <w:p>
      <w:r>
        <w:t>Ausserdem muss sich die Beschwerdekammer nach der bundesgerichtlichen Rechtsprechung nicht mit allen Parteistandpunkten einlässlich auseinander- setzen und jedes einzelne Vorbringen ausdrücklich widerlegen. Sie kann sich auf die für ihren Entscheid wesentlichen Punkte beschränken und es genügt, wenn sie wenigstens kurz die Überlegungen nennt, von denen sie sich leiten liess und auf welche sich ihr Entscheid stützt (BGE 147 IV 409 E. 5.3.4; 141 IV 249 E. 1.3.1; 139 IV 179 E. 2.2)</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La coopération judiciaire internationale en matière pénale, 5. Aufl. 2019, N. 524-535).</w:t>
      </w:r>
    </w:p>
    <w:p>
      <w:r>
        <w:rPr>
          <w:b/>
        </w:rPr>
        <w:t>E. 3.2</w:t>
      </w:r>
    </w:p>
    <w:p>
      <w:r>
        <w:t>Der Beschwerdeführer ist Inhaber des von der Rechtshilfe betroffenen Konto samt Subkonto. Er gilt daher von der angefochtenen Rechtshilfemassnahme als persönlich und direkt betroffen im Sinne von Art. 80h lit. b IRSG i.V.m. Art. 9a lit. a IRSV und ist entsprechend beschwerdelegitimiert. Auf seine frist- und formgerecht eingereichte Beschwerde ist daher einzutreten.</w:t>
      </w:r>
    </w:p>
    <w:p>
      <w:r>
        <w:t>- 8 -</w:t>
      </w:r>
    </w:p>
    <w:p>
      <w:r>
        <w:rPr>
          <w:b/>
        </w:rPr>
        <w:t>E. 4.1</w:t>
      </w:r>
    </w:p>
    <w:p>
      <w:r>
        <w:t>Der Beschwerdeführer rügt, die Beschwerdegegnerin habe sein rechtliches Gehör verletzt (act. 1 S. 9 ff.).</w:t>
      </w:r>
    </w:p>
    <w:p>
      <w:r>
        <w:t>Zur Begründung bringt er vor, die Beschwerdegegnerin habe mit Verfügung vom 22. Dezember 2022 das Mitteilungsverbot gegenüber der Bank aufge- hoben. Die Bank habe die Verfügung am nächsten Tag, d.h. einen Tag vor Heiligabend erhalten. Alle schweizerischen Bankinstitute seien am 24., 25. und 26. Dezember 2022 geschlossen gewesen. Die Bank habe den Be- schwerdeführer erst am 27. Dezember 2022 über das Rechtshilfeverfahren in Kenntnis setzen können (act. 1 S. 6). Drei Arbeitstage später, überdies zwischen Weihnachten und Neujahr, habe die Beschwerdegegnerin die Schlussverfügung vom 30. Dezember 2022 erlassen (act. 1 S. 7). Es seien dem Beschwerdeführer demnach knapp drei Tage zur Verfügung gestanden, um einen Rechtsanwalt zwischen Weihnachten und Neujahr in der Schweiz aufzusuchen, sich beraten zu lassen und sich bei der ausführenden Behörde zu melden. Es könne nicht angenommen werden, dass eine Frist von drei Tagen das Gehörsrecht des Beschwerdeführers respektieren und diesem tatsächlich auf konkrete Weise die Gelegenheit geben würde, am Rechtshil- feverfahren teilzunehmen und sich zu den zu übermittelnden Unterlagen zu äussern oder gar eine Triagierung vorzuschlagen. Unter diesen Umständen sei festzustellen, dass der Beschwerdeführer daran gehindert worden sei, sein rechtliches Gehör wahrzunehmen (act. 1 S. 10). Diese Gehörsverlet- zung sei nicht heilbar und die Schlussverfügung entsprechend aufzuheben (act. 1 S. 11).</w:t>
      </w:r>
    </w:p>
    <w:p>
      <w:r>
        <w:rPr>
          <w:b/>
        </w:rPr>
        <w:t>E. 4.2</w:t>
      </w:r>
    </w:p>
    <w:p>
      <w:r>
        <w:t>Die Beschwerdegegnerin hält dazu fest, dass es dem Beschwerdeführer zu- zumuten gewesen wäre, die Bundesanwaltschaft innert der fraglichen, wenn auch kurzen, Zeitspanne zumindest zu orientieren, dass er sich am Rechts- hilfeverfahren beteiligen wolle. Dies hätte ohne Weiteres dazu geführt, dass ihm vor Erlass der Schlussverfügung das rechtliche Gehör und die Möglich- keit der Einwilligung einer Herausgabe der Beweismittel an die ersuchende Behörde gewährt worden wäre. Bis zum Zeitpunkt des Erlasses der Schluss- verfügung vom 30. Dezember 2022 habe sich der Beschwerdeführer jedoch in keiner Weise an die Bundesanwaltschaft gewandt. Demnach habe die Be- schwerdegegnerin das rechtliche Gehör nicht verletzt (act. 8 S. 2). Dem Be- schwerdeführer sei es sodann im Rahmen des Beschwerdeverfahrens mög- lich, konkret und effektiv Gründe vorzutragen, die gegen eine Übermittlung der in der Schlussverfügung aufgeführten Aktenstücke sprechen bzw. die ent- sprechenden Unterlagen zu bezeichnen, die seiner Meinung nach nicht über- mittelt werden dürfen. Eine allfällige Verletzung des rechtlichen Gehörs könnte damit im Rahmen des Beschwerdeverfahrens geheilt werden (act. 8 S. 3).</w:t>
      </w:r>
    </w:p>
    <w:p>
      <w:r>
        <w:t>- 9 -</w:t>
      </w:r>
    </w:p>
    <w:p>
      <w:r>
        <w:rPr>
          <w:b/>
        </w:rPr>
        <w:t>E. 4.3.1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August 2016 E. 4.2.1 m.w.H.). Berechtigt im Sinne von Art. 80b Abs. 1 IRSG ist, wer Parteistellung hat, mithin wer im Sinne von Art. 80h lit. b IRSG beschwerde- berechtigt ist. Nach der Rechtsprechung muss die ausführende Behörde dem gemäss Art. 80h lit. b IRSG und Art. 9a IRSV Berechtigten zur Wahrung des rechtli- chen Gehörs vorgängig an den Erlass der Schlussverfügung auf konkrete und wirkungsvolle Weise die Gelegenheit geben, sich zum Rechtshilfeersu- chen zu äussern und unter Angabe der Gründe geltend zu machen, welche Unterlagen etwa in Anwendung des Verhältnismässigkeitsprinzips nicht her- auszugeben sind (vgl. Art. 30 Abs. 1 VwVG; BGE 130 II 14 E. 4.3 S. 16; 126 II 258 E. 9b/aa S. 262; Entscheid des Bundesstrafgerichts RR.2007.24 vom 8. Mai 2007 E. 3.1). Es genügt dabei, wenn dem Berechtigten Gelegen- heit gegeben wird, sich schriftlich zur Aussonderung zu äussern. In der Regel setzt sie dem Inhaber hiefür eine Frist an, die kurz sein kann, um in Bezug auf jeden einzelnen Beleg die Argumente zu benennen, die seines Erach- tens der Übermittlung entgegenstehen. Danach erlässt die ausführende Be- hörde eine sorgfältig begründete Schlussverfügung (BGE 130 II 14 E. 4.4).</w:t>
      </w:r>
    </w:p>
    <w:p>
      <w:r>
        <w:rPr>
          <w:b/>
        </w:rPr>
        <w:t>E. 4.3.2</w:t>
      </w:r>
    </w:p>
    <w:p>
      <w:r>
        <w:t>Gemäss Art. 80m Abs. 1 lit. a und b IRSG hat die ausführende Behörde ihre Verfügungen dem in der Schweiz wohnhaften Berechtigten sowie im Aus- land ansässigen Berechtigten mit Zustellungsdomizil in der Schweiz zuzu- stellen. Eine Partei oder ihr Rechtsbeistand, die im Ausland wohnen, müssen ein Zustelldomizil in der Schweiz bezeichnen (Art. 9 IRSV). Unterlassen sie dies, kann die Zustellung unterbleiben. Die Schlussverfügung betreffend rechtshilfeweise Herausgabe von Bankunterlagen und die vorangehenden Zwischenverfügung sind in einem solchen Fall dem betroffenen Bankinstitut zuzustellen (BGE 136 IV 16 E. 2.2; 130 II 505 E. 2.3 S. 507). Handelt es sich beim Betroffenen – wie im vorliegenden Fall – um einen im Ausland ansässigen Kontoinhaber, so wird er regelmässig durch die konto- führende Bank über das Rechtshilfeersuchen in Kenntnis gesetzt, welche aufgrund ihrer obligationenrechtlichen Sorgfaltspflicht gehalten ist, ihre Kun- den über das Ersuchen und die in diesem Zusammenhang ergangenen Massnahmen umgehend zu informieren (BGE 136 IV 16 E. 2.2 S. 18), es sei</w:t>
      </w:r>
    </w:p>
    <w:p>
      <w:r>
        <w:t>- 10 -</w:t>
      </w:r>
    </w:p>
    <w:p>
      <w:r>
        <w:t>denn, die zuständige Behörde hätte dies ausnahmsweise in Anwendung von Art. 80n Abs. 1 IRSG untersagt (ZIMMERMANN, a.a.O., S. 574 f. N. 537). Sobald ein Berechtigter über das Rechtshilfeverfahren informiert ist (bzw. als informiert gilt), muss er nach der Rechtsprechung umgehend bei der ausfüh- renden Behörde vorstellig werden, wenn er ein Zustelldomizil in der Schweiz zu bezeichnen gedenkt. Dies ergibt sich aus dem im Rechtshilfeverfahren geltenden Beschleunigungsgebot im Sinne von Art. 17a IRSG und dem Ge- bot von Treu und Glauben (vgl. BGE 124 II 124 E. 2d/dd S. 130).</w:t>
      </w:r>
    </w:p>
    <w:p>
      <w:r>
        <w:rPr>
          <w:b/>
        </w:rPr>
        <w:t>E. 4.3.3</w:t>
      </w:r>
    </w:p>
    <w:p>
      <w:r>
        <w:t>Das Recht auf Teilnahme am Rechtshilfeverfahren, namentlich auf Teilnahme an der Aussonderung der zu übermittelnden Kontounterlagen, entbindet den im Ausland ansässigen Berechtigten nicht von dessen Pflicht, umgehend ein Zustelldomizil in der Schweiz zu bezeichnen (Urteil des Bundesgerichts 1A.107/2007 vom 10. August 2006 E. 2.5.1). Kommt der im Ausland ansäs- sige Berechtigte dieser Pflicht nicht nach, muss die ausführende Behörde diesem Berechtigten keine Frist ansetzen, damit dieser seine allfälligen Be- merkungen vor Erlass der Schlussverfügung anbringen kann. Bezeichnet der im Ausland ansässige Berechtigte kein Zustelldomizil in der Schweiz, darf die ausführende Behörde davon ausgehen, dieser verzichte auf sein Recht auf Teilnahme am Rechtshilfeverfahren (Urteil des Bundesgerichts 1A.107/2007 vom 10. August 2006 E. 2.5 in fine). Nach der Rechtsprechung wird das rechtliche Gehör des Berechtigten nicht verletzt, soweit das gegenüber dem betroffenen Bankinstitut angeordnete Mitteilungsverbot noch vor Erlass der Schlussverfügung aufgehoben wird. So steht zum einen unter solchen Umständen fest, dass die Bank Gelegen- heit dazu hatte, ihren Kunden über das Rechtshilfeverfahren zu informieren. Zum anderen steht damit auch fest, dass der Berechtigte, welcher ein Zu- stelldomizil zu bezeichnen gedenkt, die Möglichkeit hatte, sich umgehend bei der ausführenden Behörde zu melden (an Stelle vieler s. Entscheid des Bundesstrafgerichts RR.2012.36 vom 14. September 2012 E. 2.3.1).</w:t>
      </w:r>
    </w:p>
    <w:p>
      <w:r>
        <w:rPr>
          <w:b/>
        </w:rPr>
        <w:t>E. 4.3.4</w:t>
      </w:r>
    </w:p>
    <w:p>
      <w:r>
        <w:t>Der Anspruch auf rechtliches Gehör ist formeller Natur, weshalb dessen Ver- letzung ungeachtet der Erfolgsaussichten der Beschwerde in der Sache selbst grundsätzlich zur Aufhebung der angefochtenen Verfügung führt (BGE 144 I 11 E. 5.3 S. 17 mit Hinweis auf 137 I 195 E. 2.2; 135 I 279 E. 2.6.1 S. 285; 124 V 389 E. 1 S. 389). Vorbehalten bleiben praxisgemäss Fälle, in denen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S. 305 m.H.).</w:t>
      </w:r>
    </w:p>
    <w:p>
      <w:r>
        <w:t>- 11 -</w:t>
      </w:r>
    </w:p>
    <w:p>
      <w:r>
        <w:rPr>
          <w:b/>
        </w:rPr>
        <w:t>E. 4.4</w:t>
      </w:r>
    </w:p>
    <w:p>
      <w:r>
        <w:t>Der Beschwerdeführer hat weder Wohnsitz in der Schweiz noch hat er im Rechtshilfeverfahren nach Aufhebung des gegenüber der Bank erlassenen Mitteilungsverbots und Kenntnisnahme der Zwischenverfügung unverzüglich (s. dazu Entscheid des Bundesstrafgerichts RR.2017.9 vom 21. Juni 2017 E. 2.1.2) ein Zustellungsdomizil in der Schweiz bezeichnet. Im Einklang mit der vorstehend erläuterten Rechtsprechung wurden vorliegend die ange- fochtene Schlussverfügung wie alle vorangehenden Verfügungen zurecht der Bank zugestellt. Aus dem Umstand, dass der Beschwerdeführer nach Aufhebung des Mitteilungsverbots nicht umgehend ein Zustellungsdomizil in der Schweiz bezeichnet hat, durfte die Beschwerdegegnerin schliessen, der Beschwerdeführer habe damit auch auf sein Teilnahmerecht samt vorgängi- ger Anhörung verzichtet. Die Beschwerdegegnerin hat das rechtliche Gehör des Beschwerdeführers daher nicht verletzt, indem sie die Schlussverfügung am 30. Dezember 2022 erliess, nachdem sie mit Verfügung vom 22. Dezem- ber 2023 das Mitteilungsverbot gegenüber der Bank aufgehoben hatte. Da die Beschwerdekammer des Bundesstrafgerichts über die gleiche Überprü- fungsbefugnis wie die ausführende Behörde verfügt und der Beschwerde- führer vorliegend Gelegenheit dazu hatte, sich in diesem Verfahren umfas- send zum Rechtshilfeverfahren zu äussern, würden ihm durch eine allfällige vorinstanzliche Gehörsverletzung ohnehin keine Nachteile erwachsen. Ent- gegen der Annahme des Beschwerdeführers könnte vorliegend eine allfäl- lige Verletzung des rechtlichen Gehörs durch die ausführende Behörde ohne weiteres geheilt werden (s. Entscheid des Bundesstrafgerichts RR.2015.154 vom 23. Dezember 2015 E. 2.2.4).</w:t>
      </w:r>
    </w:p>
    <w:p>
      <w:r>
        <w:rPr>
          <w:b/>
        </w:rPr>
        <w:t>E. 5.1</w:t>
      </w:r>
    </w:p>
    <w:p>
      <w:r>
        <w:t>Der Beschwerdeführer erachtet die Sachdarstellung im Rechtshilfeersuchen als ungenügend (act. 1 S. 11 f.).</w:t>
      </w:r>
    </w:p>
    <w:p>
      <w:r>
        <w:t>Über die Vortaten sei nichts bekannt. Die ersuchende Behörde beschränke sich darauf, angebliche Zusammenhänge zwischen israelischen oder ango- lanischen Individuen aufzulisten und Verträge mit der Staatsgesellschaft E. in Angola zu erwähnen, ohne die konkreten Verträge samt betreffender Daten darzulegen (act. 1 S. 11). Die ersuchende Behörde zeige nicht auf, inwiefern die unbestimmten Geldströme geldwäschereiverdächtige Handlun- gen darstellen sollen. Angesichts der Lücken im Rechtshilfeersuchen, könne die doppelte Strafbarkeit nicht geprüft werden (act. 1 S. 12).</w:t>
      </w:r>
    </w:p>
    <w:p>
      <w:r>
        <w:rPr>
          <w:b/>
        </w:rPr>
        <w:t>E. 5.2</w:t>
      </w:r>
    </w:p>
    <w:p>
      <w:r>
        <w:t>Gleichzeitig macht er eine Verletzung des Prinzips der doppelten Strafbarkeit geltend (act. 1 S. 12).</w:t>
      </w:r>
    </w:p>
    <w:p>
      <w:r>
        <w:t>- 12 -</w:t>
      </w:r>
    </w:p>
    <w:p>
      <w:r>
        <w:rPr>
          <w:b/>
        </w:rPr>
        <w:t>E. 5.3.1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5.4</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w:t>
      </w:r>
    </w:p>
    <w:p>
      <w:r>
        <w:t>- 13 -</w:t>
      </w:r>
    </w:p>
    <w:p>
      <w:r>
        <w:t>werden dürfen, wenn aus der Darstellung des Sachverhalts im Ersuchen her- 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5.5</w:t>
      </w:r>
    </w:p>
    <w:p>
      <w:r>
        <w:t>Im Falle von Geldwäschereiverdacht braucht nach der Rechtsprechung des Bundesgerichts das Rechtshilfeersuchen nicht notwendigerweise zu erwäh- nen, worin die verbrecherische Vortat («Haupttat») der Geldwäscherei im Sinne von Art. 305bis Ziff. 1 StGB besteht (s. BGE 129 II 97 E. 3.2). Es genügt grundsätzlich, wenn geldwäschereiverdächtige Finanztransaktionen darge- legt werden. Insbesondere brauchen Ort, Zeitpunkt und Umstände der ver- brecherischen Vortat noch nicht bekannt zu sein (BGE 129 II 97 E. 3.2). Als geldwäschereiverdächtig können namentlich Finanzoperationen angesehen werden, bei denen hohe Beträge ohne erkennbaren wirtschaftlichen Grund und über Konten zahlreicher Gesellschaften in verschiedenen Staaten trans- feriert werden (BGE 129 II 97 E. 3.3). Auch unerklärliche bzw. ungewöhnli- che Transaktionen mit hohen Bargeldbeträgen (FORSTER, Internationale Rechtshilfe bei Geldwäschereiverdacht, Entwicklung und Typologie der bun- desgerichtlichen Praxis zur Konkretisierung der verbrecherischen Vortat, ZStrR 124 [2006] 274 ff., S. 282, m.w.H.) oder das Stillschweigen des Be- schuldigten über die Herkunft eines hohen Geldbetrages (Urteil des Bundes- gerichts 1A.141/2004 vom 1. Oktober 2004 E. 2.2) können in diesem Zusam- menhang verdächtig erscheinen. Falls im Ersuchen keine näheren Angaben zur Vortat gemacht werden, müssen jedoch erhebliche Indizien dafür beste- hen, dass es sich dabei um ein Verbrechen handelt. Dabei ist auch der Di- mension der fraglichen Finanztransaktionen Rechnung zu tragen. In den Fäl- len, in denen das Bundesgericht die Rechtshilfe als zulässig erachtet hat, obschon das Ersuchen zur Vortat keine Angaben enthielt, betrafen die</w:t>
      </w:r>
    </w:p>
    <w:p>
      <w:r>
        <w:t>- 14 -</w:t>
      </w:r>
    </w:p>
    <w:p>
      <w:r>
        <w:t>verdächtigen Transaktionen durchwegs Millionen oder gar Milliarden von Franken. In BGE 129 II 97, wo 4 Milliarden Franken unter Benutzung zahl- reicher Gesellschaften auf der ganzen Welt unter dubiosen Umständen ver- schoben worden waren, hielt das Bundesgericht fest, es liege nahe, dass es sich hier bei der Vortat, welche die ersuchende Behörde noch nicht schildern konnte, um eine ausserordentlich schwer wiegende Straftat und somit nach schweizerischem Recht um ein Verbrechen handeln musste (vgl. auch Urteil des Bundesgerichts 1A.188/2005 vom 24. Oktober 2005 E. 2.4; Entscheid des Bundesstrafgerichts RR.2008.11 vom 3. Juli 2008 E. 4.5 und 4.6; vgl. ferner Entscheid des Bundesstrafgerichts RR.2015.9 vom 21. Mai 2015 E. 3.3 sowie Nichteintretensentscheid des Bundesgerichts 1C_308/2015 vom 22. Juni 2015 E. 2.1).</w:t>
      </w:r>
    </w:p>
    <w:p>
      <w:r>
        <w:rPr>
          <w:b/>
        </w:rPr>
        <w:t>E. 5.6</w:t>
      </w:r>
    </w:p>
    <w:p>
      <w:r>
        <w:t>Dem portugiesischen Rechtshilfeersuchen ist folgender Sachverhaltsvorwurf zu entnehmen (Verfahrensakten, Rubrik 1, franz. Übersetzung):</w:t>
      </w:r>
    </w:p>
    <w:p>
      <w:r>
        <w:t>Die portugiesische Strafverfolgungsbehörde verdächtigt B., aufgrund von dessen Verbindungen und der von ihm kontrollierten Gesellschaften zu den portugiesischen Banken bzw. zum portugiesischen Finanzsystem Gelder aus Bestechung und Steuerbetrug gewaschen zu haben (S. 2). Sie nimmt an, dass B. diverse Konten in seinem Namen und im Namen der von ihm kontrollierten Gesellschaften eröffnet habe, auf welchen er die Vermögens- werte ehemaliger angolanischer Amtsträger treuhänderisch verwalte (S. 3). Nach ihren Informationen ist B. des Weiteren auch wegen Korruption eines Staatsanwalts/Richters angezeigt worden, weil er in seiner Funktion bei der Bank G. (PT) jenem als Gegenleistung für die Einstellung der Strafuntersu- chung gegen angolanische politische Führungskräfte einen Posten in der Bank angeboten habe (S. 3). In der mutmasslichen Bestechung ehemaliger angolanischer Amtsträger soll unter anderem die Gesellschaft F. involviert gewesen sein (S. 2).</w:t>
      </w:r>
    </w:p>
    <w:p>
      <w:r>
        <w:t>Im Einzelnen führte die ersuchende Behörde im Rechtshilfeersuchen aus, dass B., ein portugiesisch-angolanischer Doppelbürger, Verwaltungsratsmit- glied der Banken G. (PT) und H. (PT) gewesen sei (S. 3). B. habe weiter die Funktion des Generaldirektors bei der Bank I. (AO) innegehabt. B. habe ins- besondere die Konten der K. Sarl verwaltet, welche Beteiligungen bei meh- reren Bankinstituten habe, so 96,5 % an der Bank H. (PT), 19,8 % an der Bank J. (AO) und 1,99 % an der Bank G. (PT) über die L. SGPS, an welcher die K. Sarl mit 19,4 % beteiligt sei (S. 3). B. sei auch der wirtschaftlich Be- rechtigte an der Gesellschaft M., ein SPV (special purpose vehicle), und der N. Sarl. Die Verwaltungsräte dieser Gesellschaften, so O., P., der Beschwer- deführer (A.), Q. und R., hätten Verbindung zu B. und seien auch Organe der</w:t>
      </w:r>
    </w:p>
    <w:p>
      <w:r>
        <w:t>- 15 -</w:t>
      </w:r>
    </w:p>
    <w:p>
      <w:r>
        <w:t>Banken J. (AO) und H. (PT). Die vorgenannten Personen seien auch an der S. SA beteiligt (S. 4). Die M. Sarl halte seit 2018 die T. Lda. (S. 6). Zur AA. SA hielt die ersuchende Behörde fest, diese habe sich dem Lufttransport gewid- met und sei im Januar 2021 liquidiert worden, wobei sie im August 2019 eines ihrer Aktiven, ein Luftschiff, verkauft habe. Im Zusammenhang mit der Gesellschaft F., welche an der K. Sarl und damit an der der Hauptaktionärin der Bank H. (PT) beteiligt sei, führt die ersu- chende Behörde aus, die Stiftung Fa. Limited sei von der Fb. LLP errichtet und formell von der Fc. Limited über die Gesellschaft Fd. mit Sitz in Gross- britannien verwaltet worden (S. 4). Der Generaldirektor der Fb. LLP sei ein bulgarischer Staatsangehöriger namens BB., welcher direkt oder über russi- sche Banken und Gesellschaften diverse Finanzierungen für Angola und für spezifische Projekte wie den Bau des Staudamms Y (AO) in Zusammenar- beit mit der Gesellschaft CC. oder die Raffinerie in Z. (AO) in Zusammenar- beit mit der staatlichen Gesellschaft E. verhandelt habe (S. 4 f.). Die portu- giesische Strafverfolgungsbehörde geht davon aus, dass sich die angolani- schen Amtsträger diese Finanzierungen im Austausch gegen die Gewäh- rung von Vorteilen an die Gesellschaft F. und den von ihr kontrollierten Ge- sellschaften schliesslich angeeignet hätten (S. 5). In diesem Lichte sind nach Darstellung der portugiesischen Behörde die bis- her festgestellten Überweisungen von und ab Konten zu lesen, welche auf B. lauten oder auf welche er zugreifen kann (S. 5 ff.): - EUR 11,5 Mio. am 14. Dezember 2016 vom Konto [geschwärzt] der Fa. Limited bei der Bank [geschwärzt], auf das Konto [geschwärzt] in Lu- xemburg, auf welches B. zugreifen kann; - EUR 16‘793‘726.25 vom Konto [geschwärzt], an welchem die AA. SA be- teiligt sei, bei der Bank H. (PT) in Portugal auf das Konto [geschwärzt] in Luxemburg der K. Sarl, auf welches B. zugreifen kann; - EUR 1‘222‘356.32 am 24. Oktober 2019 vom Konto [geschwärzt], an wel- chem die DD. SGPS S.A. beteiligt sei, bei der Bank H. (PT), auf das Konto [geschwärzt] der K. Sarl, auf welches B. zugreifen kann; - insgesamt ca. EUR 30 Mio. ab 2016 auf Konten in Luxemburg, auf wel- chen B. zugreifen kann; - mehrere Abflüsse ab 2016 ab Konten in Luxemburg auf Konten in Portu- gal der AA SA (insgesamt ca. EUR 2 Mio.) und der T. Lda. (insgesamt ca. EUR 0,5 Mio.);</w:t>
      </w:r>
    </w:p>
    <w:p>
      <w:r>
        <w:t>- 16 -</w:t>
      </w:r>
    </w:p>
    <w:p>
      <w:r>
        <w:t>- EUR 16,8 Mio. am 16. September 2019 vom Konto [geschwärzt] der AA. SA bei der Bank H. (PT) zum Herrschaftsbereich von B. in Luxem- burg, wobei der Zahlungsgrund nicht überprüft worden sei, - EUR 7‘686‘739,96 am 3. September 2020 von den Konten in Luxemburg auf das Konto [geschwärzt] der K. Sarl in der Schweiz; - EUR 725‘000.-- von den Konten in Luxemburg auf das Konto [geschwärzt] von B. in der Schweiz; - EUR 0,2 Mio. am 19. Juli 2019 von den Konten in Luxemburg auf das Konto [geschwärzt] des Beschwerdeführers, Verwalter der M. Sarl, in der Schweiz. Die portugiesische Strafverfolgungsbehörde äussert insbesondere den Ver- dacht, dass die EE. Ltd. mit Sitz auf den Britischen Jungferninseln, welche zusammen mit der Gesellschaft E. Immobilienprojekte in Angola entwickle, auf Kosten der Gesellschaft E. gespiesen worden sei (S. 7). Vom Konto [ge- schwärzt] der EE. Ltd. bei der Bank [geschwärzt] seien am 24. Dezember 2013 USD 10 Mio. auf das Konto [geschwärzt] von B. bei der Bank [ge- schwärzt] transferiert worden. Dazu führt die portugiesische Behörde aus, dass diese Transaktion als Rückzahlung eines Darlehens deklariert worden sei, welches B. persönlich gewährt haben soll, um Liquiditätsschwierigkeiten eines laufenden Immobilienprojekts in Angola zu überwinden. Den portugie- sischen Behörden zufolge ist der geltend gemachte Hintergrund dieser Zah- lung an B. nur schwer nachvollziehbar, zumal in diesem Immobilienprojekt die staatliche Gesellschaft E. als Partnerin involviert gewesen sein soll, wel- che zum fraglichen Zeitpunkt keine Liquiditätsschwierigkeiten gehabt haben soll (S. 7). Von einem israelischen Konto der EE. Ltd seien auch Vermögens- werte auf ein angolanisches Konto der FF. Lda., Angola, bei der Bank [ge- schwärzt] in Angola überwiesen worden, welche zwei chinesischen Staats- bürgern gehöre und einen Bauvertrag mit der EE. SA (AO) abgeschlossen habe (S. 8 f.). Die EE. Ltd. werde von den israelischen Investoren GG., HH., II., JJ., KK. und LL. gehalten (S. 7). Diese israelischen Staatsbürger sollen Verbindun- gen zur MM. Ltd. haben, welche Inhaberin des Kontos [geschwärzt] bei der Bank [geschwärzt] sei. Von diesem Konto seien zwischen Juli und Septem- ber 2017 Gelder auf Konten der angolanischen Staatsbürger NN. und OO. bei der Bank [geschwärzt] überwiesen worden. Vom Konto [geschwärzt] der MM. Ltd. sei am 8. September 2017 eine Überweisung auf das Konto [ge- schwärzt] bei der Bank [geschwärzt] von NN., ein ehemaliges Verwaltungs- ratsmitglied der Bank PP (AO), erfolgt (S. 8). Vom Konto [geschwärzt] der MM. Ltd. bei der Bank [geschwärzt] seien am 5. Juli 2017 EUR 50‘000.--, am</w:t>
      </w:r>
    </w:p>
    <w:p>
      <w:r>
        <w:t>- 17 -</w:t>
      </w:r>
    </w:p>
    <w:p>
      <w:r>
        <w:t>17. August 2017 EUR 10‘000.-- und am 13. September 2017 EUR 10‘000.-- auf das Konto [geschwärzt] bei der Bank [geschwärzt] von OO., Berater des Büros des Richterrats am Rechnungshof), überwiesen worden (S. 8).</w:t>
      </w:r>
    </w:p>
    <w:p>
      <w:r>
        <w:rPr>
          <w:b/>
        </w:rPr>
        <w:t>E. 5.7</w:t>
      </w:r>
    </w:p>
    <w:p>
      <w:r>
        <w:t>Entgegen der Argumentation des Beschwerdeführers legte die ersuchende Behörde im Rechtshilfeersuchen ausreichende Indizien dar, welche in ihrer Gesamtheit prima facie den gegenüber B. erhobenen Vorwurf der Geldwä- scherei mit Korruption als Vortat zu begründen vermögen. Wie aus der vor- stehenden Wiedergabe des Sachverhaltsvorwurfs hervorgeht, wurde darin zum einen die in Millionenhöhe über diverse Gesellschaften und Banken ohne erkennbaren wirtschaftlichen Grund erfolgte transnationale Verschie- bung von Vermögenswerten geschildert, welche jeweils einen Bezug zu B. aufweist. Zum anderen wurden der konkrete Vorwurf der Bestechung eines Richters/Staatsanwalts durch B. sowie zwei weitere Vorgänge aufgeführt, welche auf Korruption hinweisen, wie die Geldüberweisung an zwei angola- nische Beamte und die im Zusammenhang mit einem staatlichen Bauprojekt erfolgte Geldüberweisung an B. Weitergehende Informationen zur Vortat, wie Ort, Zeitpunkt und Umstände der verdächtigten Bestechung, brauchen vorliegend noch nicht bekannt zu sein. Nach der zitierten Rechtsprechung können die geschilderten Überweisungen bei einer prima facie Beurteilung als geldwäschereiverdächtige Finanzoperationen im Sinne von Art. 305bis Ziff. 1 StGB qualifiziert werden. Die Rechtshilfevoraussetzung der doppelten Strafbarkeit kann nicht nur geprüft werden, sondern sie ist auch zu bejahen.</w:t>
      </w:r>
    </w:p>
    <w:p>
      <w:r>
        <w:t>Soweit der Beschwerdeführer mit seinen einleitenden Ausführungen die Sachdarstellung im Rechtshilfeersuchen bestritten haben wollte (act. 1 S. 4 f.), bleibt festzuhalten, dass er mit seinen Ausführungen keine offen- sichtlichen Mängel im Sinne der Rechtsprechung aufgezeigt hat, welche das Rechtshilfeersuchen sofort zu entkräften vermöchten.</w:t>
      </w:r>
    </w:p>
    <w:p>
      <w:r>
        <w:rPr>
          <w:b/>
        </w:rPr>
        <w:t>E. 5.8</w:t>
      </w:r>
    </w:p>
    <w:p>
      <w:r>
        <w:t>Nach dem Gesagten erweisen sich beide Rügen als unbegründet.</w:t>
      </w:r>
    </w:p>
    <w:p>
      <w:r>
        <w:rPr>
          <w:b/>
        </w:rPr>
        <w:t>E. 6.1</w:t>
      </w:r>
    </w:p>
    <w:p>
      <w:r>
        <w:t>Der Beschwerdeführer rügt eine Verletzung des Verhältnismässigkeitsprin- zips (act. 1 S. 12 ff.).</w:t>
      </w:r>
    </w:p>
    <w:p>
      <w:r>
        <w:t>Er macht geltend, es bestehe kein Zusammenhang zwischen der portugiesi- schen Strafuntersuchung und seinem Konto bei der Bank C. Soweit dieser Zusammenhang in der Beteiligung der Gesellschaft F. an der K. Sarl gese- hen werde, welche dem Konto des Beschwerdeführers Gelder gutgeschrie- ben haben soll, habe er aufgezeigt, dass die Gesellschaft F. nie an der</w:t>
      </w:r>
    </w:p>
    <w:p>
      <w:r>
        <w:t>- 18 -</w:t>
      </w:r>
    </w:p>
    <w:p>
      <w:r>
        <w:t>K. Sarl beteiligt gewesen sei (act. 1 S. 13). Was die Überweisung vom Konto der K. Sarl auf das Konto des Beschwerdeführers anbelange, welches vor- liegend Gegenstand der Rechtshilfemassnahme sei, könne er nicht nach- vollziehen, inwiefern dieser Mittelfluss Deliktserlös betreffen solle (act. 1 S. 13 f.).</w:t>
      </w:r>
    </w:p>
    <w:p>
      <w:r>
        <w:t>Im Eventualstandpunkt bringt er vor, dem Rechtshilfeersuchen sei mit der Übermittlung der nachfolgenden Kontounterlagen bereits vollumfänglich Ge- nüge getan: Kontoeröffnungsunterlagen, Unterlagen betreffend die Transak- tion über EUR 0,2 Mio. vom 22. Juli 2019 und die Kontoauszüge ausschliess- lich betreffend das Jahr 2019 unter Schwärzung aller anderen Unterlagen. Entsprechend seien alle anderen Kontounterlagen, namentlich die KYC-Un- terlagen, die Compliance Notes, die Wertpapiertransaktionen und die Inves- titionsunterlagen, von einer Übermittlung auszunehmen (act. 1 S. 15).</w:t>
      </w:r>
    </w:p>
    <w:p>
      <w:r>
        <w:t>In der Replik wendet der Beschwerdeführer neu ein, die Beschwerdegegne- rin habe die Herausgabe der Kontounterlagen «en vrac» angeordnet und auch deshalb das Verhältnismässigkeitsprinzip verletzt (act. 13 S. 5). Sie äussere sich auch nicht zu den Kontounterlagen, welche nach seiner Ansicht von einer Übermittlung auszunehmen seien (act. 13 S. 5 f.). Soweit die Be- schwerdegegnerin die Erheblichkeit dieser spezifischen Dokumente für das portugiesische Verfahren nicht begründe, sei anzunehmen, dass die Unter- lagen nicht relevant seien (act. 13 S. 6).</w:t>
      </w:r>
    </w:p>
    <w:p>
      <w:r>
        <w:rPr>
          <w:b/>
        </w:rPr>
        <w:t>E. 6.2.1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w:t>
      </w:r>
    </w:p>
    <w:p>
      <w:r>
        <w:t>- 19 -</w:t>
      </w:r>
    </w:p>
    <w:p>
      <w:r>
        <w:t>beziehen können; nicht zu übermitteln sind nur diejenigen Akten, die für das ausländische Strafverfahren mit Sicherheit nicht erheblich sind (sog. poten- tielle Erheblichkeit; BGE 128 II 407 E. 6.3.1; 122 II 367 E. 2c; TPF 2009 161 E. 5.1 m.w.H.). Es ist nicht erforderlich, dass dem von der Rechtshilfemass- 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6.2.2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t>- 20 -</w:t>
      </w:r>
    </w:p>
    <w:p>
      <w:r>
        <w:t>Der Inhaber hat die Obliegenheit, schon im Stadium der Ausführung des Er- 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 hörde rechtzeitig und konkret darzulegen und diese Einwände auch ausrei- chend zu begründen (BGE 122 II 367 E. 2c S. 371 f.). Kommt ein Beschwer- deführer dieser Obliegenheit nicht nach, hat er im Beschwerdeverfahren sein Rügerecht verwirkt. Die Beschwerdeinstanz forscht nicht von sich aus nach Aktenstücken, die im ausländischen Verfahren (mit Sicherheit) nicht erheb- lich sein könnten (BGE 130 II 14 E. 4.3 S. 16; 126 II 258 E. 9b/aa S. 262; Urteile des Bundesgerichts 1A.223/2006 vom 2. April 2007 E. 4.1, sowie 1A.184/2004 vom 22. April 2005 E. 3.1).</w:t>
      </w:r>
    </w:p>
    <w:p>
      <w:r>
        <w:rPr>
          <w:b/>
        </w:rPr>
        <w:t>E. 6.3</w:t>
      </w:r>
    </w:p>
    <w:p>
      <w:r>
        <w:t>Die ersuchende Behörde schilderte in ihrem Rechtshilfeersuchen die Über- weisung von Vermögenswerten über Konten, an denen der unter Korruptions- und Geldwäschereiverdacht stehende B. direkt oder indirekt beteiligt sei, weshalb sie aufgrund der gesamten Umstände von einer deliktischen Her- kunft dieser Gelder ausgeht. Davon seien nach der Darstellung der ersu- chenden Behörde EUR 0,2 Mio. auf das Konto des Beschwerdeführers über- wiesen worden, welcher seinerseits auch Organ der in den Geldwäscherei- vorwurf verwickelten Gesellschaften und Banken sei (s. supra E. 5.6). Damit ist ein Zusammenhang zwischen der portugiesischen Strafuntersuchung und dem von der Rechtshilfemassnahme betroffenen Konto in mehrfacher Hin- sicht gegeben, wie die Beschwerdegegnerin zu Recht in der Schlussverfü- gung annahm (Verfahrensakten, Rubrik 16.3, pag. 0005 f.). Was der Be- schwerdeführer dagegen vorbringt, erschöpft sich in der nochmaligen Be- streitung des für das Rechtshilfegericht verbindlichen Sachverhaltsvorwurfs. Sowohl das Konto des Beschwerdeführers als auch er selber sind in die An- gelegenheit verwickelt und bei dieser Ausgangslage ist nach der Rechtspre- chung die ersuchende Behörde grundsätzlich über alle Transaktionen zu in- formieren, welche über das Konto des Beschwerdeführers getätigt wurden.</w:t>
      </w:r>
    </w:p>
    <w:p>
      <w:r>
        <w:t>Es trifft zwar zu, dass die ersuchende Behörde um Herausgabe der Konto- auszüge betreffend das Jahr 2019 ersuchte (s. supra lit. B). Gemäss der ver- bindlichen Sachdarstellung im Rechtshilfeersuchen erstreckt sich der Delikts- zeitraum allerdings von 2013 bis 2020. Wie die Beschwerdegegnerin zutref- fend erwägt, erweisen sich demnach für die portugiesische Strafverfolgungs- behörde auch die streitigen Kontoauszüge vom 7. August 2017 (Eröffnungs- datum) bis zum 31. Dezember 2020 – und nicht nur für das Jahr 2019 – von Interesse. Mit diesem Vorgehen wird die andernfalls notwendige Ergänzung des Rechtshilfeersuchens und Durchführung eines weiteren Rechtshilfe-</w:t>
      </w:r>
    </w:p>
    <w:p>
      <w:r>
        <w:t>- 21 -</w:t>
      </w:r>
    </w:p>
    <w:p>
      <w:r>
        <w:t>verfahrens vermieden, was auch im Einklang mit dem Beschleunigungsprin- zip steht. Ausserdem ist es nicht zulässig, den ausländischen Strafverfol- gungsbehörden nur diejenigen Unterlagen zu überlassen, die den im Rechts- hilfeersuchen geschilderten Sachverhalt mit Sicherheit beweisen (s. supra E. 6.2.1), wie dies der Beschwerdeführer annimmt. Über die Bestreitung des Sachverhaltsvorwurfs hinaus bringt der Beschwerdeführer schliesslich nichts vor, was diese Kontounterlagen für das portugiesische Strafverfahren als mit Sicherheit nicht potentiell erheblich erscheinen liesse. Konkrete Hinweise dafür, dass die Beschwerdegegnerin die Herausgabe der Bankunterlagen «en vrac» angeordnet hätte, zeigt der Beschwerdeführer nicht auf. Entgegen den Ausführungen des Beschwerdeführers erlauben namentlich die von ihm bezeichneten Kontounterlagen (act. 1 S. 15) der ersuchenden Behörde, den Geldfluss abzuklären und die an den fraglichen Vermögenswerten wirt- schaftlich Berechtigten zu ermitteln, wie dies die Beschwerdegegnerin in der Duplik im Einzelnen erläutert (act. 15 S. 2 f.). Zu ergänzen bleibt, dass für das ausländische Strafverfahren nicht nur belastende, sondern auch entlas- tende Beweismittel von Bedeutung sein können, um einen bestehenden Ver- dacht allenfalls widerlegen zu können (s. supra E. 6.2.1). Zu Recht führt die Beschwerdegegnerin in der Beschwerdeantwort zusammenfassend aus, dass vorliegend die ersuchende Behörde ein überwiegendes Interesse da- ran hat, die gesamte Kontoführung überprüfen zu können (act. 8 S. 6).</w:t>
      </w:r>
    </w:p>
    <w:p>
      <w:r>
        <w:t>Eine Verletzung des Verhältnismässigkeitsprinzips, namentlich des Über- massverbots, liegt nach dem Gesagten nicht vor. Soweit der Beschwerde- führer mit seiner Beschwerde eine zeitliche und sachliche Begrenzung der herauszugebenen Kontounterlagen beantragte, erweist sich sein Eventual- antrag als unbegründet.</w:t>
      </w:r>
    </w:p>
    <w:p>
      <w:r>
        <w:rPr>
          <w:b/>
        </w:rPr>
        <w:t>E. 7</w:t>
      </w:r>
    </w:p>
    <w:p>
      <w:r>
        <w:t>Andere Rechtshilfehindernisse sind nicht ersichtlich und die in der angefoch- tenen Schlussverfügung angeordnete Herausgabe der Kontounterlagen ist somit im verfügten Umfang zulässig. Nach dem Gesagten ist die Beschwer- de abzuweisen.</w:t>
      </w:r>
    </w:p>
    <w:p>
      <w:r>
        <w:rPr>
          <w:b/>
        </w:rPr>
        <w:t>E. 8</w:t>
      </w:r>
    </w:p>
    <w:p>
      <w:r>
        <w:t>Bei diesem Ausgang des Verfahrens sind die Gerichtskosten dem Be- schwerdeführer aufzuerlegen (Art. 63 Abs. 1 VwVG). Für die Berechnung der Gerichtsgebühren gelangt gemäss Art. 63 Abs. 5 VwVG das Reglement des Bundesstrafgerichts vom 31. August 2010 über die Kosten, Gebühren und Entschädigungen in Bundesstrafverfahren (BStKR; SR 173.713.162) zur Anwendung. Die Gerichtsgebühr ist vorliegend auf Fr. 5‘000.-- anzusetzen, unter Anrechnung des in gleicher Höhe geleisteten Kostenvorschusses.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