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RR.2023.189 vom 12. März 2024</w:t>
      </w:r>
    </w:p>
    <w:p>
      <w:r>
        <w:t>Bundesstrafgericht, 2024-03-12, IT</w:t>
      </w:r>
    </w:p>
    <w:p>
      <w:r>
        <w:rPr>
          <w:b/>
        </w:rPr>
        <w:t xml:space="preserve">Quelle: </w:t>
      </w:r>
      <w:r>
        <w:t>https://mcp.opencaselaw.ch/entscheid/bstger_RR.2023.189</w:t>
      </w:r>
    </w:p>
    <w:p>
      <w:r>
        <w:t>FR: TPF RR.2023.189 du 12 mars 2024</w:t>
      </w:r>
    </w:p>
    <w:p>
      <w:r>
        <w:t>IT: TPF RR.2023.189 del 12 marzo 2024</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w:t>
      </w:r>
    </w:p>
    <w:p>
      <w:r>
        <w:t>- 4 -</w:t>
      </w:r>
    </w:p>
    <w:p>
      <w:r>
        <w:t>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 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ricorso è ricevibile sotto il profilo degli art. 25 cpv. 1, 80e cpv. 1 e 80k AIMP.</w:t>
      </w:r>
    </w:p>
    <w:p>
      <w:r>
        <w:rPr>
          <w:b/>
        </w:rPr>
        <w:t>E. 1.6.1</w:t>
      </w:r>
    </w:p>
    <w:p>
      <w:r>
        <w:t>La ricevibilità del gravame presuppone tuttavia anche la legittimazione a ricor- rere della ricorrente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w:t>
      </w:r>
    </w:p>
    <w:p>
      <w:r>
        <w:t>- 5 -</w:t>
      </w:r>
    </w:p>
    <w:p>
      <w:r>
        <w:t>assistenza giudiziaria internazionale, il ricorrente deve avere un legame suffi- cientemente stretto con la decisione litigiosa (DTF 137 IV 134 consid. 5.2.1; 123 II 161 consid. 1 d/aa). Più concretamente, nel caso di una richiesta d’informa- zioni su un conto bancario è considerato personalmente e direttamente toccato il titolare del conto (v. art. 9a lett. a OAIMP; DTF 137 IV 134 consid. 5.2.1 e 6.1, con rinvii, e 118 Ib 547 consid. 1d), così come nelle perquisizioni domiciliari questa qualità spetta al proprietario o al locatario (v. art. 9a lett. b OAIMP; DTF 137 IV 134 consid. 6.2, con rinvii).</w:t>
      </w:r>
    </w:p>
    <w:p>
      <w:r>
        <w:rPr>
          <w:b/>
        </w:rPr>
        <w:t>E. 1.6.2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Questo vale in linea di massima anche nel caso di documenti in possesso delle autorità in virtù di pregresse procedure di diritto interno e come tali ottenuti senza misure coercitive di tipo rogatoriale internazionale (v. TPF 2020 180 con- sid. 4.4.3; sentenza del Tribunale penale federale RR.2007.46 del 4 giugno 2007 consid. 1.6.2). È ammessa un’eccezione se all’interno di questi atti vi è documentazione bancaria: in questo caso il titolare dei conti in questione è le- gittimato a ricorrere (DTF 124 II 180 consid. 2; sentenze del Tribunale federale 1A.282/2005 del 30 aprile 2007 consid. 2.3.1 e 1A.141/1998 del 9 febbraio 1999 consid. 2a = Rep 1999 pag. 123; TPF 2007 79 consid. 1.6 pag. 82).</w:t>
      </w:r>
    </w:p>
    <w:p>
      <w:r>
        <w:rPr>
          <w:b/>
        </w:rPr>
        <w:t>E. 1.6.3</w:t>
      </w:r>
    </w:p>
    <w:p>
      <w:r>
        <w:t>In concreto, nella misura in cui le relazioni bancarie oggetto della decisione im- pugnata sono intestate a C. SA e non al ricorrente (v. atti 18 e 21 incarto MP- TI), la legittimazione di quest’ultimo va negata. Per quanto riguarda le perquisi- zioni presso gli uffici di C. SA e di I. SA nonché la sede di F. SA, il ricorrente non ha minimamente dimostrato di essere egli stesso proprietario o locatario degli spazi oggetto delle misure, per cui anche in questo ambito la legittima- zione fa difetto. Infine, non essendo egli stesso oggetto della misura istruttoria sfociata nel verbale d’interrogatorio di G. del 1° febbraio 2023 e non contenendo quest’ultimo informazioni relative a conti bancari intestati al ricorrente (v. atto 30 incarto MP-TI), la legittimazione ricorsuale non è data neppure per conte- stare la trasmissione di tale documento.</w:t>
      </w:r>
    </w:p>
    <w:p>
      <w:r>
        <w:t>- 6 -</w:t>
      </w:r>
    </w:p>
    <w:p>
      <w:r>
        <w:rPr>
          <w:b/>
        </w:rPr>
        <w:t>E. 2</w:t>
      </w:r>
    </w:p>
    <w:p>
      <w:r>
        <w:t>Visto quanto precede, il ricorso è inammissibile.</w:t>
      </w:r>
    </w:p>
    <w:p>
      <w:r>
        <w:rPr>
          <w:b/>
        </w:rPr>
        <w:t>E. 3</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3'000.–, a carico del ricorrente; essa è coperta dall'anticipo delle spese di fr. 5'000.– già versato. La Cassa del Tri- bunale restituirà al ricorrente il saldo di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