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RR.2023.174 vom 4. September 2024</w:t>
      </w:r>
    </w:p>
    <w:p>
      <w:r>
        <w:t>Bundesstrafgericht, 2024-09-04, FR</w:t>
      </w:r>
    </w:p>
    <w:p>
      <w:r>
        <w:rPr>
          <w:b/>
        </w:rPr>
        <w:t xml:space="preserve">Quelle: </w:t>
      </w:r>
      <w:r>
        <w:t>https://mcp.opencaselaw.ch/entscheid/bstger_RR.2023.174</w:t>
      </w:r>
    </w:p>
    <w:p>
      <w:r>
        <w:t>FR: TPF RR.2023.174 du 4 septembre 2024</w:t>
      </w:r>
    </w:p>
    <w:p>
      <w:r>
        <w:t>IT: TPF RR.2023.174 del 4 settembre 2024</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w:t>
      </w:r>
    </w:p>
    <w:p>
      <w:r>
        <w:t>- 6 -</w:t>
      </w:r>
    </w:p>
    <w:p>
      <w:r>
        <w:t>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applicable en cas de blanchiment peu importe la nature de l’infraction commise en amont. S'appliquent en outre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w:t>
      </w:r>
    </w:p>
    <w:p>
      <w:r>
        <w:rPr>
          <w:b/>
        </w:rPr>
        <w:t>E. 1.2</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w:t>
      </w:r>
    </w:p>
    <w:p>
      <w:r>
        <w:rPr>
          <w:b/>
        </w:rPr>
        <w:t>E. 1.3</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pleine cognition sur les griefs soulevés (arrêt du Tribunal pénal fédéral RR.2021.294 du 23 juin 2022 consid. 1.2 et références citées).</w:t>
      </w:r>
    </w:p>
    <w:p>
      <w:r>
        <w:rPr>
          <w:b/>
        </w:rPr>
        <w:t>E. 1.4</w:t>
      </w:r>
    </w:p>
    <w:p>
      <w:r>
        <w:t>Le délai de recours contre la décision de clôture est de 30 jours dès la communication écrite de celle-ci (art. 80k EIMP). Interjeté le 30 novembre 2023, contre une décision de clôture notifiée le 1er novembre précédent, le recours a été déposé en temps utile.</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l'État requérant d'informations relatives à ce compte (ATF 137 IV 134 consid. 5; 118 Ib 547 consid. 1d).</w:t>
      </w:r>
    </w:p>
    <w:p>
      <w:r>
        <w:rPr>
          <w:b/>
        </w:rPr>
        <w:t>E. 1.5.1</w:t>
      </w:r>
    </w:p>
    <w:p>
      <w:r>
        <w:t>En ce qui concerne A., il bénéficie de la qualité pour agir à l’égard des documents qui concernent le compte dont il est titulaire.</w:t>
      </w:r>
    </w:p>
    <w:p>
      <w:r>
        <w:rPr>
          <w:b/>
        </w:rPr>
        <w:t>E. 1.5.2</w:t>
      </w:r>
    </w:p>
    <w:p>
      <w:r>
        <w:t>Quant à B. SA, elle dispose de la qualité pour agir s’agissant des documents relatifs à son compte.</w:t>
      </w:r>
    </w:p>
    <w:p>
      <w:r>
        <w:rPr>
          <w:b/>
        </w:rPr>
        <w:t>E. 1.5.3</w:t>
      </w:r>
    </w:p>
    <w:p>
      <w:r>
        <w:t>S’agissant de C. Sàrl, il s’avère que la société a été dissoute le 13 décembre 2023 (extrait du registre du commerce du canton de Genève consulté le</w:t>
      </w:r>
    </w:p>
    <w:p>
      <w:r>
        <w:rPr>
          <w:b/>
        </w:rPr>
        <w:t>E. 1.5.4</w:t>
      </w:r>
    </w:p>
    <w:p>
      <w:r>
        <w:t>Les recourants exposent en outre qu’ont également été saisis des documents relatifs au compte d’une société BB. SA. Il s’agirait d’un compte de consignation liée à la constitution de dite société. L’apport de base aurait été effectué par B. SA et le compte n’aurait connu aucune autre entrée ou sortie de fonds. Ils précisent cependant que dite société n’a finalement jamais été constituée et que l’argent versé par B. SA lui aurait été restitué. Partant, ils considèrent qu’à défaut de constitution de la société BB. SA, il y a lieu de partir du principe que c’est B. SA qui est titulaire du compte en question. Il est plus que douteux que les recourants puissent être suivis. D’abord, B. SA n’a jamais été titulaire de la relation bancaire en question. Ensuite, ainsi que précisé ci-dessus (consid. 1.5.3), en principe seul le titulaire du compte est habilité à recourir contre la transmission des documents y relatifs. La seule exception admise est celle du cas de la dissolution de la société avec la preuve que l’ayant-droit en est le bénéficiaire. En l’occurrence, BB. SA n’ayant jamais été constituée, elle n’a logiquement pas pu être dissoute. Partant, la règle qui précède ne saurait trouver ici application. Compte tenu toutefois de l’issue du recours, la question peut souffrir de rester indécise.</w:t>
      </w:r>
    </w:p>
    <w:p>
      <w:r>
        <w:t>- 9 -</w:t>
      </w:r>
    </w:p>
    <w:p>
      <w:r>
        <w:rPr>
          <w:b/>
        </w:rPr>
        <w:t>E. 1.6</w:t>
      </w:r>
    </w:p>
    <w:p>
      <w:r>
        <w:t>Sous réserve de ce qui précède, le recours est ainsi recevable et il y a lieu d'entrer en matière sur le fond.</w:t>
      </w:r>
    </w:p>
    <w:p>
      <w:r>
        <w:t>2.</w:t>
      </w:r>
    </w:p>
    <w:p>
      <w:r>
        <w:rPr>
          <w:b/>
        </w:rPr>
        <w:t>E. 2</w:t>
      </w:r>
    </w:p>
    <w:p>
      <w:r>
        <w:t>CAAS et art. 39 ch. 2 CBI). L'application de la norme la plus favorable doit avoir lieu dans le respect des droits fondamentaux (ATF 135 IV 212 consid. 2.3; 123 II 595 consid. 7c). 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 de faveur »; v. ATF 147 II 432 consid. 3; 142 IV 250 consid. 3; 140 IV 123 consid. 2; 137 IV 33 consid. 2.2.2; 136 IV 82 consid. 3.1), ce qui est valable aussi dans le rapport entre les normes internationales (v. art. 48 ch. 2 CAAS).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t>- 7 -</w:t>
      </w:r>
    </w:p>
    <w:p>
      <w:r>
        <w:rPr>
          <w:b/>
        </w:rPr>
        <w:t>E. 2.1</w:t>
      </w:r>
    </w:p>
    <w:p>
      <w:r>
        <w:t>Dans un grief qui compte tenu de sa nature formelle doit être traité en premier lieu, les recourants se plaignent d’une violation de leur droit d’être entendus, et ce à plusieurs titres. Ils soulignent en effet que B. SA n’a pas été interpellée par le MP-GE alors même qu’elle est titulaire du compte concerné par la transmission des documents y relatifs. Son droit d’être entendue a ainsi été violé dans la mesure où elle ne s’est pas vue notifier la décision attaquée et a ainsi été privée de son droit de s’exprimer sur les documents en cause et de procéder au tri des pièces. Elle n’a de ce fait également pas été informée de l’existence de la procédure, de la nature et des motifs de l’accusation portée contre elle. Les recourants invoquent encore une violation du droit d’être entendu en raison de l’absence totale de tri des pièces saisies par le MP-GE, tant au plan chronologique que matériel.</w:t>
      </w:r>
    </w:p>
    <w:p>
      <w:r>
        <w:rPr>
          <w:b/>
        </w:rPr>
        <w:t>E. 2.2</w:t>
      </w:r>
    </w:p>
    <w:p>
      <w:r>
        <w:t>Le MP-GE pour sa part réfute ces allégations. Il relève d’abord qu’en ayant accepté la transmission simplifiée le 7 mars 2022 d’une première partie de pièces, A. ne pouvait ignorer que celles-ci visaient également B. SA dont il est l’administrateur et donc habilité à agir pour elle. Au surplus, le recourant et son conseil ont eu accès à l’intégralité du dossier et savaient donc que B. SA était également concernée par les recherches des autorités françaises. Il rappelle que B. SA s’est opposée à la transmission simplifiée des pièces en octobre 2023 et qu’elle était donc impliquée dans la procédure en cours. Enfin, il admet certes avoir omis de notifier formellement la décision de clôture à B. SA, mais souligne que cette dernière a tout de même pu faire valoir ses droits contre la transmission des pièces la concernant.</w:t>
      </w:r>
    </w:p>
    <w:p>
      <w:r>
        <w:rPr>
          <w:b/>
        </w:rPr>
        <w:t>E. 2.3.1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en vigueur pour la Suisse depuis le 28 novembre 1974).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Parmi les concrétisations du droit d'être entendu, il y a notamment le droit des parties à s'exprimer sur les éléments pertinents avant qu'une décision touchant leur</w:t>
      </w:r>
    </w:p>
    <w:p>
      <w:r>
        <w:t>- 10 -</w:t>
      </w:r>
    </w:p>
    <w:p>
      <w:r>
        <w:t>situation juridique ne soit prise (ATF 145 I 167 consid. 4.1; 135 II 286 consid. 5.1 et références citées; 129 II 497 consid. 2.2; 129 I 85 consid. 4.1).</w:t>
      </w:r>
    </w:p>
    <w:p>
      <w:r>
        <w:rPr>
          <w:b/>
        </w:rPr>
        <w:t>E. 2.3.2</w:t>
      </w:r>
    </w:p>
    <w:p>
      <w:r>
        <w:t>Par ailleurs, la jurisprudence a tiré du droit d'être entendu,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2.3.3</w:t>
      </w:r>
    </w:p>
    <w:p>
      <w:r>
        <w:t>En matière d'entraide judiciaire, le droit d’être entendu permet aussi au détenteur de participer au tri des pièces à remettre à l'État requérant (ATF 129 I 85 consid. 4.1 et références citées; arrêts du Tribunal fédéral 6B_397/2012 du 20 septembre 2012 consid. 1.2; 8C_509/2011 du 26 juin 2012 consid. 2.2; arrêt du Tribunal pénal fédéral RR.2009.294 du 7 octobre 2009 consid. 3.1.1). Pour le détenteur cela implique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w:t>
      </w:r>
    </w:p>
    <w:p>
      <w:r>
        <w:t>- 11 -</w:t>
      </w:r>
    </w:p>
    <w:p>
      <w:r>
        <w:t>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2.3.4</w:t>
      </w:r>
    </w:p>
    <w:p>
      <w:r>
        <w:t>Enfin, lorsqu'une violation du droit d'être entendu est commise par l'autorité d'exécution, la procédure de recours auprès de la Cour de céans en permet, en principe, la réparation (arrêts du Tribunal fédéral 1C_703/2017 du</w:t>
      </w:r>
    </w:p>
    <w:p>
      <w:r>
        <w:rPr>
          <w:b/>
        </w:rPr>
        <w:t>E. 2.3.5</w:t>
      </w:r>
    </w:p>
    <w:p>
      <w:r>
        <w:t>En l’espèce, lorsque B. SA soutient n’avoir jamais eu connaissance de la demande d’entraide, elle ne peut être suivie. En effet, ainsi que le relève le MP-GE, le 7 mars 2022, A. a admis la transmission simplifiée de certains documents concernant B. SA dont il est l’administrateur avec signature individuelle (act. 1.4; supra let. G). Par ailleurs, A. et son conseil – lequel représente également B. SA (act. 1C) – ont eu accès au dossier et ont reçu tous les documents que l’autorité d’exécution envisageait de transmettre. Au surplus, les locaux de B. SA ont également fait l’objet d’une perquisition</w:t>
      </w:r>
    </w:p>
    <w:p>
      <w:r>
        <w:t>- 12 -</w:t>
      </w:r>
    </w:p>
    <w:p>
      <w:r>
        <w:t>(act. 1.5; 1.8). Il en découle que les recourants et leur conseil ne pouvaient en aucun cas ignorer que B.SA et tout document y relatif étaient également concernés par les demandes d’entraide des autorités françaises. Partant, le grief est écarté.</w:t>
      </w:r>
    </w:p>
    <w:p>
      <w:r>
        <w:rPr>
          <w:b/>
        </w:rPr>
        <w:t>E. 2.3.6</w:t>
      </w:r>
    </w:p>
    <w:p>
      <w:r>
        <w:t>Les recourants prétendent ensuite que B. SA n’a pas pu participer au tri des pièces. Pourtant, le MP-GE a fait parvenir l’intégralité de la documentation bancaire saisie auprès de la banque G., concernant entre autres B. SA, au conseil de cette dernière les 22 et 27 mars 2023. Il leur a adressé le 14 juin 2023 une invitation à se déterminer, délai qui a été prolongé au 21 août 2023, tout en leur indiquant qu’il entendait transmettre toutes les pièces saisies (act. 1.35). Sous cet angle, tant A. que B. SA ont été informés de la volonté du MP-GE de transmettre tout ce qui a été saisi. Au surplus, le 2 octobre 2023, les recourants se sont conjointement opposés à la transmission de la documentation de leur compte bancaire. Ils ont donc eu la possibilité de participer au tri des pièces. Ils ont en outre eu l’opportunité de réitérer leur opposition à la remise des documents et ce qui la fondait devant l’autorité de Céans. Cela scelle le sort de ce grief qui est écarté.</w:t>
      </w:r>
    </w:p>
    <w:p>
      <w:r>
        <w:rPr>
          <w:b/>
        </w:rPr>
        <w:t>E. 2.3.7</w:t>
      </w:r>
    </w:p>
    <w:p>
      <w:r>
        <w:t>Les recourants soutiennent également que le MP-GE n’a procédé à aucun tri des pièces sous l’angle chronologique et sous l’angle matériel. Au-delà du fait que cet argument se recoupe avec le principe de la proportionnalité qui sera examiné infra (consid. 4), il sied de relever que tant dans la décision querellée que dans sa réponse devant l’autorité de céans, le MP-GE a explicité les raisons pour lesquelles il a considéré que l’intégralité des pièces concernées devait être remise à l’autorité requérante tant sous l’angle temporel que sur le fond. Dès lors, contrairement à ce qu’affirment les recourants, le MP-GE n’a pas omis de procéder à un tri mais a délibérément choisi de tout transmettre sur la base des motivations développées. Il n’y a donc pas là de violation du droit d’être entendu. Le grief est rejeté.</w:t>
      </w:r>
    </w:p>
    <w:p>
      <w:r>
        <w:rPr>
          <w:b/>
        </w:rPr>
        <w:t>E. 2.3.8</w:t>
      </w:r>
    </w:p>
    <w:p>
      <w:r>
        <w:t>Force est de constater que le fait que le MP-GE n’a pas notifié la décision querellée à B. SA constitue une atteinte au droit d’être entendue de la recourante. Il reste qu’ainsi évoqué ci-dessus (consid. 2.3.5), cette dernière a non seulement eu connaissance de l’ordonnance de clôture, mais elle a également eu la possibilité de s’y opposer en interjetant recours devant l’autorité de céans. Elle a au demeurant eu la possibilité de se prononcer sur tous les arguments durant la présente procédure de recours. Partant, il faut admettre que dite violation du droit d’être entendu a été dûment guérie. Le grief est rejeté. En revanche, il sera tenu compte de ce manquement dans le calcul des frais selon les principes développés par la jurisprudence constante (TPF 2008 172 consid. 6 et 7).</w:t>
      </w:r>
    </w:p>
    <w:p>
      <w:r>
        <w:rPr>
          <w:b/>
        </w:rPr>
        <w:t>E. 2.4</w:t>
      </w:r>
    </w:p>
    <w:p>
      <w:r>
        <w:t>Sur le vu de ce qui précède, le grief de la violation du droit d’être entendu,</w:t>
      </w:r>
    </w:p>
    <w:p>
      <w:r>
        <w:t>- 13 -</w:t>
      </w:r>
    </w:p>
    <w:p>
      <w:r>
        <w:t>mal fondé, est écarté.</w:t>
      </w:r>
    </w:p>
    <w:p>
      <w:r>
        <w:t>3.</w:t>
      </w:r>
    </w:p>
    <w:p>
      <w:r>
        <w:t>3.1 Les recourants s’en prennent ensuite au contenu de la demande d’entraide et de son complément, retenant qu’ils sont totalement obscurs s’agissant de l’implication du recourant ainsi que des autres mis en cause. Ils retiennent qu’aucun agissement illicite ne peut être retenu contre A. tant sous l’angle du droit suisse que du droit français. En outre, selon les recourants, la lecture des pièces destinées à être remises ne montre aucun lien entre eux et les personnes ou sociétés citées dans la demande d’entraide et son complément. Il n’y pas non plus trace du versement reproché au recourant dès lors qu’il a été extourné. S’agissant du compte de B. SA, les données saisies permettent d’identifier la clientèle et les fournisseurs de la société ainsi que plusieurs informations relevant du secret d’affaires et n’ayant aucun rapport avec l’affaire. Aucun élément ne permet donc d’impliquer les recourants quant à une participation aux actes avancés par l’autorité française. 3.2 Selon l'art. 14 CEEJ, la demande d'entraide doit notamment indiquer son objet et son but (ch. 1 let. b), l’identité et la nationalité de la personne en cause, dans la mesure du possible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(ATF 118 Ib 111 consid. 4b et les arrêts cités). Le droit interne (art. 28 EIMP) pose des exigences équivalentes, que l'ordonnance du 24 février 1982 sur l'entraide internationale en matière pénale (OEIMP; RS 351.11) précise en exigeant l'indication du lieu, de la date et du mode de commission des infractions (art. 10 OEIMP). 3.3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 cités). Dans le cadre d'une demande d'entraide, il convient effectivement de garder à l'esprit que la démarche de l'autorité étrangère vise à compléter, par les renseignements requis, les investigations en cours (ZIMMERMANN, op. cit., no 293, p. 309), renseignements qui pourront, suite à leur examen par le juge étranger – et non celui de l'Etat</w:t>
      </w:r>
    </w:p>
    <w:p>
      <w:r>
        <w:t>- 14 -</w:t>
      </w:r>
    </w:p>
    <w:p>
      <w:r>
        <w:t>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 – sous l'angle de la double incrimination – en quoi la partie dont les informations sont requises est concrètement impliquée dans les agissements poursuivis (arrêt du Tribunal fédéral 1C_660/2019 du 6 janvier 2020 consid. 3.2 et la réf.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 3.4 Lorsque l’autorité étrangère adresse une demande d’entraide aux fins d’appuyer une enquête menée pour blanchiment d’argent, elle ne doit pas nécessairement apporter la preuve de la commission des actes de blanchiment ou de l’infraction préalable, de simples éléments concerts de soupçons sont suffisants sous l’angle de la double punissabilité (arrêt du Tribunal pénal fédéral RR.2008.8 du 23 juillet 2008 consid. 2.2.2; ZIMMERMANN, op. cit., no 601 p. 554).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RR.2006.69-72 du 14 août 2008 consid. 3.3 et références citées). L’importance des sommes mises en cause lors des transactions suspectes constitue également un motif de soupçon de blanchiment. Cette interprétation correspond à la notion d’entraide la plus large possible (art. 1 CEEJ; 7 ch. 1 et 8 CBI; ATF 129 II 97). 3.5 En l’occurrence, la demande d’entraide fait état d’une vaste enquête pénale contre une quinzaine de personnes nommément désignées. Plusieurs d’entre elles sont suspectées d’appartenir à une organisation criminelle,</w:t>
      </w:r>
    </w:p>
    <w:p>
      <w:r>
        <w:t>- 15 -</w:t>
      </w:r>
    </w:p>
    <w:p>
      <w:r>
        <w:t>mise en cause notamment dans un assassinat ainsi que dans l’investissement dans l’immobilier de sommes importantes provenant de ses activités illicites. Des écoutes téléphoniques ont permis d’identifier plusieurs transferts de fonds, au moyen de potentielles sociétés offshores. Dans ce contexte, A. est soupçonné d’avoir participé à ces opérations en raison d’un virement qu’il entendait faire sur un compte à Hong Kong. Dès lors que le virement précité n’a pas pleinement abouti, un membre de l’organisation a été envoyé à Hong Kong afin de débloquer la situation. Il s’avère par ailleurs que le recourant a eu des contacts avec certains des membres identifiés de cette organisation criminelle. Il appert en outre qu’un système de compensation international notamment via la Chine a été mis en œuvre par l’organisation afin de permettre le décaissement d’espèces sur la base de fausses factures au nom de sociétés chinoises visant à donner une apparence de justification aux transactions intervenues. 3.6 La demande d’entraide et son complément énoncent de manière claire et précise en quoi consistent les infractions qui auraient été commises, le lieu et le moment où elles auraient été réalisées et par qui. Cela permet aux recourants d’appréhender parfaitement les faits qui leur sont reprochés conformément aux exigences des dispositions légales. 3.7 Certes, les recourants arguent du caractère contradictoire de la demande d’entraide dès lors qu’elle présentait d’abord le recourant comme un auteur éventuel alors que son complément le qualifie de victime potentielle. Cet élément ne constitue cependant pas une cause d’empêchement de l’entraide. En effet, valablement saisie d'une demande d'entraide judiciaire, l'autorité suisse n'a pas à interpréter les décisions intervenues entre-temps dans l'Etat requérant. De jurisprudence constante, seul un retrait formel de la demande d'entraide peut permettre à l'autorité suisse de renoncer à son exécution (arrêts du Tribunal fédéral 1C_696/2023 du 8 janvier 2024 consid. 2; 1C_584/2018 du 28 décembre 2018 consid. 1.2;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 Les autorités françaises n’ayant pas retiré leur demande, cela scelle le sort de ce grief qui est écarté.</w:t>
      </w:r>
    </w:p>
    <w:p>
      <w:r>
        <w:t>4.</w:t>
      </w:r>
    </w:p>
    <w:p>
      <w:r>
        <w:rPr>
          <w:b/>
        </w:rPr>
        <w:t>E. 4</w:t>
      </w:r>
    </w:p>
    <w:p>
      <w:r>
        <w:t>septembre 2024 à 15h39). Dans un tel cas, la société ne dispose plus de la qualité pour agir (ATF 123 II 153). En principe, seul le titulaire du compte dispose de la qualité pour agir. Exceptionnellement, la qualité pour agir est reconnue à l'ayant droit d'une société titulaire de compte lorsque celle-ci a été dissoute et liquidée, sous réserve de l'abus de droit (ATF 139 II 404 consid. 2.1.1; 137 IV 134 consid. 5.2.1; arrêt du Tribunal fédéral 1C_401/2021 du 28 juillet 2021 consid. 2.3). 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 23 mai 2011 consid. 2; 1A.268/2006 du 16 février 2007 consid. 2.3; arrêts du Tribunal pénal fédéral RR.2019.73 du 21 octobre 2019 consid. 4.2;</w:t>
      </w:r>
    </w:p>
    <w:p>
      <w:r>
        <w:t>- 8 -</w:t>
      </w:r>
    </w:p>
    <w:p>
      <w:r>
        <w:t>RR.2017.292-293 du 27 avril 2018 consid. 2.1.2 et les réf. citées; RR.2015.14 du 11 février 2015 et les réf. citées; ZIMMERMANN, La coopération judiciaire internationale en matière pénale, 5e éd. 2019, no 529 et les réf. citées). Le fait que la société liquidée l'a été en faveur de l'ayant droit économique est essentiel pour juger de la recevabilité du recours (arrêt du Tribunal fédéral 1C_440/2011 du 17 octobre 2011 consid. 1.5). La qualité pour recourir ne sera reconnue audit ayant droit que si l'acte de dissolution indique clairement ce dernier comme étant le bénéficiaire de la société dissoute (arrêts du Tribunal fédéral 1C_162/2018 du 29 mai 2018 consid. 2.1.1 et 2.2; 1B_466/2017 du 27 mars 2018 consid. 3.1 et 3.2; 1C_183/2012 du 12 avril 2012 consid. 1.4; 1C_161/2011 du 11 avril 2011 consid. 1.3.1 et les réf.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1C_401/2021 du 28 juillet 2021 consid. 2.3 et les réf. citées; arrêts du Tribunal pénal fédéral RR.2021.80-81 du 16 juin 2021 et les réf. citées).</w:t>
      </w:r>
    </w:p>
    <w:p>
      <w:r>
        <w:t>In casu, la société recourante a été dissoute après le dépôt du recours. Il eût appartenu à A. d’en informer la Cour de céans en vertu de son devoir de collaboration et de démontrer qu’il était le bénéficiaire de la dissolution en question. Dès lors qu’il n’en a rien fait, le recours de C. Sàrl est irrecevable.</w:t>
      </w:r>
    </w:p>
    <w:p>
      <w:r>
        <w:rPr>
          <w:b/>
        </w:rPr>
        <w:t>E. 4.1.1</w:t>
      </w:r>
    </w:p>
    <w:p>
      <w:r>
        <w:t>Les recourants font valoir ensuite une violation du principe de la proportionnalité. Selon eux, le MP-GE a notamment choisi d’adresser à</w:t>
      </w:r>
    </w:p>
    <w:p>
      <w:r>
        <w:t>- 16 -</w:t>
      </w:r>
    </w:p>
    <w:p>
      <w:r>
        <w:t>l’autorité requérante des documents excédant largement le champ du complexe de faits relaté par cette dernière tant d’un point de vue matériel que chronologique et sont sans pertinence pour la procédure instruite en France. En outre, selon eux, la requête s’inscrit dans une démarche qui ne peut être qu’apparentée à une recherche indéterminée de moyens de preuve.</w:t>
      </w:r>
    </w:p>
    <w:p>
      <w:r>
        <w:rPr>
          <w:b/>
        </w:rPr>
        <w:t>E. 4.1.2</w:t>
      </w:r>
    </w:p>
    <w:p>
      <w:r>
        <w:t>Le MP-GE conteste intégralement toute atteinte au principe de la proportionnalité.</w:t>
      </w:r>
    </w:p>
    <w:p>
      <w:r>
        <w:rPr>
          <w:b/>
        </w:rPr>
        <w:t>E. 4.2.1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w:t>
      </w:r>
    </w:p>
    <w:p>
      <w:r>
        <w:t>- 17 -</w:t>
      </w:r>
    </w:p>
    <w:p>
      <w:r>
        <w:t>servir l'enquête étrangère, afin d'éclairer dans tous ses aspects les rouages du mécanisme délictueux poursuivi dans l'Etat requérant (arrêts du Tribunal pénal fédéral RR.2010.173 du 13 octobre 2010 consid. 4.2.4/a et RR.2009.320 du 2 février 2010 consid. 4.1; ZIMMERMANN, op. cit., no 723 et s.).</w:t>
      </w:r>
    </w:p>
    <w:p>
      <w:r>
        <w:rPr>
          <w:b/>
        </w:rPr>
        <w:t>E. 4.2.2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4.3.1</w:t>
      </w:r>
    </w:p>
    <w:p>
      <w:r>
        <w:t>En l'espèce, le recourant est nommé dans la demande d’entraide en raison du rôle qu’il aurait joué pour avoir essayé de transférer quelque CHF 2 mios à Hong Kong. Il est par ailleurs établi qu’il a des contacts avec certains membres de l’organisation criminelle mise en cause. Le compte auprès de la banque G. à propos duquel les autorités requérantes demandent la documentation était le destinataire de la transaction précitée. Partant, il existe un lien de connexité suffisant entre les informations à transmettre et l'état de fait de l'enquête pénale pour admettre la transmission de la documentation bancaire relative au compte concerné.</w:t>
      </w:r>
    </w:p>
    <w:p>
      <w:r>
        <w:rPr>
          <w:b/>
        </w:rPr>
        <w:t>E. 4.3.2</w:t>
      </w:r>
    </w:p>
    <w:p>
      <w:r>
        <w:t>Or, en l’espèce, les recourants soutiennent que le versement du mois de</w:t>
      </w:r>
    </w:p>
    <w:p>
      <w:r>
        <w:t>- 18 -</w:t>
      </w:r>
    </w:p>
    <w:p>
      <w:r>
        <w:t>juillet 2019 incriminé n’apparaît pas dans la documentation en cause car il aurait été extourné. Il reste que figurent au dossier (act. 1.15 et annexes) des éléments qui permettent de comprendre pour quelle raison ledit virement de CHF 2 mios n’a jamais été crédité à Hong Kong. Il est partant indéniable que la documentation relative à cette relation est d’intérêt pour l’autorité requérante dès lors qu’elle indique ignorer la raison pour laquelle le paiement de ces CHF 2 mios n’a jamais abouti.</w:t>
      </w:r>
    </w:p>
    <w:p>
      <w:r>
        <w:rPr>
          <w:b/>
        </w:rPr>
        <w:t>E. 4.3.3</w:t>
      </w:r>
    </w:p>
    <w:p>
      <w:r>
        <w:t>Les recourants indiquent par ailleurs que les relevés de compte ne mettent en évidence aucun virement en faveur ou de la part des autres membres de l’organisation criminelle mise en cause. En tous les cas, pour la période incriminée, il s’avère que des versements ont été effectués entre les comptes des recourants (entre autres, s’agissant du compte n°1 de A: le 29 avril 2019: CHF 250'000.-- en faveur de B. SA; le 5 avril 2019, un montant de CHF 800'000.-- crédité de B. SA en faveur de A. et le 3 septembre 2019, le virement de CHF 1 mio de B. SA à A.). Contrairement à ce que soutiennent les recourants, ces éléments suffisent largement pour que les documents en question puissent être considérés comme déterminants pour l’autorité requérante, éventuellement aussi à décharge.</w:t>
      </w:r>
    </w:p>
    <w:p>
      <w:r>
        <w:rPr>
          <w:b/>
        </w:rPr>
        <w:t>E. 4.3.4</w:t>
      </w:r>
    </w:p>
    <w:p>
      <w:r>
        <w:t>Le grief, inopérant, est écarté.</w:t>
      </w:r>
    </w:p>
    <w:p>
      <w:r>
        <w:rPr>
          <w:b/>
        </w:rPr>
        <w:t>E. 4.4</w:t>
      </w:r>
    </w:p>
    <w:p>
      <w:r>
        <w:t>Compte tenu du principe de l’utilité potentielle évoqué supra (consid. 4.1.1), mais au vu également de la complexité des faits sous enquête, rien ne s’oppose à la remise des documents relatifs à la société recourante. Celle-ci est mentionnée dans la demande d’entraide (act. 1.1 p. 6) et le recourant en est l’administrateur avec signature individuelle; il est donc l’ayant droit économique des avoirs figurant sur son compte. Or, la demande d’entraide requiert expressément de recenser le patrimoine de A. Ces éléments suffisent pour établir un lien de connexité suffisant pour admettre le transfert de la documentation bancaire relative à B. SA. L’argument est écarté.</w:t>
      </w:r>
    </w:p>
    <w:p>
      <w:r>
        <w:rPr>
          <w:b/>
        </w:rPr>
        <w:t>E. 4.5</w:t>
      </w:r>
    </w:p>
    <w:p>
      <w:r>
        <w:t>Les autorités requérantes ont demandé l’obtention des relevés des comptes visés pour une période allant du 1er janvier 2018 au 14 juin 2021. Les documents à transmettre selon le MP-GE correspondent à une fenêtre temporelle allant de 2018 à 2023. Contrairement à ce que soutiennent les recourants à cet égard, aucun grief ne peut être retenu contre le MP-GE de ce fait. Face à une organisation criminelle, compte tenu des montants en jeu et au vu du complexe international concerné, il importe que l’autorité requérante puisse bénéficier d’un maximum d’informations afin de pouvoir investiguer tant en amont qu’en aval (supra consid. 4.1.1) ce pour pouvoir identifier au mieux le flux des fonds impliqués. Plus spécifiquement, on rappellera que les mesures de surveillance ayant permis d’identifier la</w:t>
      </w:r>
    </w:p>
    <w:p>
      <w:r>
        <w:t>- 19 -</w:t>
      </w:r>
    </w:p>
    <w:p>
      <w:r>
        <w:t>volonté des membres de l’organisation en question d’investir dans l’immobilier pour blanchir le fruit de son activité illicite ont été mises en place en 2018. Il est donc clairement d’intérêt pour l’autorité requérante de pouvoir examiner ce qui s’est passé sur les comptes des recourants dès cette période-là. Cela scelle le sort de ce grief.</w:t>
      </w:r>
    </w:p>
    <w:p>
      <w:r>
        <w:t>5.</w:t>
      </w:r>
    </w:p>
    <w:p>
      <w:r>
        <w:t>5.1 Enfin, A. critique le fait qu’à de multiples reprises, il a été convoqué directement à des auditions sur territoire français par les autorités de ce pays. Il s’en est plaint par écrit plusieurs fois directement auprès des autorités françaises et du MP-GE (supra let. E). Il en conclut que pour ces raisons, les autorités genevoises n’auraient pas dû s’abstenir de procéder au tri des pièces. 5.2 En l’espèce cependant, ainsi que précisé supra (consid. 2.3.7), l’autorité d’exécution a fait un choix quant aux pièces à transmettre; il n’est donc pas question ici de transmission en vrac. En outre, le recourant n’explicite pas en quoi les interventions qu’il dénonce pourraient avoir eu une quelconque incidence sur la validité des mesures d’entraide exécutées par le MP-GE. Partant, cet argument est écarté.</w:t>
      </w:r>
    </w:p>
    <w:p>
      <w:r>
        <w:t>6. Sur le vu de ce qui précède, le recours est rejeté dans la mesure de sa recevabilité.</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solidaire des recourants qui succombent. En l'espèce, l'émolument judiciaire d’ensemble, calculé conformément à l'art. 5 du règlement sur les frais, émoluments, dépens et indemnités de la procédure pénale fédérale (RFPPF; RS 173.713.162; v. art. 63 al. 5 PA) est fixé à CHF 8'000.--. Compte tenu du manquement du MP-GE quant à la notification de la décision attaquée à B. SA (supra consid. 2.3.8), ce montant est réduit à CHF 7'500.--, réputé couvert par l’avance de frais acquittée. Le solde par CHF 500.-- sera restitué aux recourants par la Caisse du Tribunal pénal fédéral.</w:t>
      </w:r>
    </w:p>
    <w:p>
      <w:r>
        <w:t>- 20 -</w:t>
      </w:r>
    </w:p>
    <w:p>
      <w:r>
        <w:rPr>
          <w:b/>
        </w:rPr>
        <w:t>E. 8</w:t>
      </w:r>
    </w:p>
    <w:p>
      <w:r>
        <w:t>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