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RR.2023.170 vom 7. März 2024</w:t>
      </w:r>
    </w:p>
    <w:p>
      <w:r>
        <w:t>Bundesstrafgericht, 2024-03-07, IT</w:t>
      </w:r>
    </w:p>
    <w:p>
      <w:r>
        <w:rPr>
          <w:b/>
        </w:rPr>
        <w:t xml:space="preserve">Quelle: </w:t>
      </w:r>
      <w:r>
        <w:t>https://mcp.opencaselaw.ch/entscheid/bstger_RR.2023.170</w:t>
      </w:r>
    </w:p>
    <w:p>
      <w:r>
        <w:t>FR: TPF RR.2023.170 du 7 mars 2024</w:t>
      </w:r>
    </w:p>
    <w:p>
      <w:r>
        <w:t>IT: TPF RR.2023.170 del 7 marzo 2024</w:t>
      </w:r>
    </w:p>
    <w:p>
      <w:pPr>
        <w:pStyle w:val="Heading2"/>
      </w:pPr>
      <w:r>
        <w:t>Regeste</w:t>
      </w:r>
    </w:p>
    <w:p>
      <w:r>
        <w:t>Assistenza giudiziaria internazionale in materia penale all'Ucraina Consegna di mezzi di prova (art. 74 AIMP) Ricusazione (art. 10 PA)</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1.3</w:t>
      </w:r>
    </w:p>
    <w:p>
      <w:r>
        <w:t>I rapporti di assistenza giudiziaria in materia penale fra Ucraina e Confedera- zione Svizzera sono anzitutto retti dalla Convenzione europea di assistenza giu- 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entrato in vigore il 1° gennaio 2012 per l’Ucraina ed il 1° febbraio 2005 per la Svizzera. Di rilievo nella fattispecie è anche la Convenzione delle Nazioni Unite contro la corruzione (RS 0.311.56), entrata in vigore il 1° gennaio 2010 per l’Ucraina e il 24 ottobre 2009 per la Svizzera. Alle questioni che il prevalente diritto internazionale non regola espressamente o implicitamente, come pure quando il diritto nazionale sia più favorevole all'assistenza rispetto a quello convenzionale (cosiddetto principio di favore) si applica la legge federale sull'as- sistenza internazionale in materia penale unitamente alla relativa ordinanza (OAIMP; RS 351.11; v. art. 1 cpv. 1 AIMP; DTF 145 IV 294 consid. 2.1; 142 IV 250 consid. 3; 140 IV 123 consid. 2). È fatto salvo il rispetto dei diritti fondamen- tali (DTF 145 IV 294 consid. 2.1; 123 II 595 consid. 7c; TPF 2016 65 con- sid 1.2.).</w:t>
      </w:r>
    </w:p>
    <w:p>
      <w:r>
        <w:t>- 5 -</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ai precedenti considerandi.</w:t>
      </w:r>
    </w:p>
    <w:p>
      <w:r>
        <w:rPr>
          <w:b/>
        </w:rPr>
        <w:t>E. 1.5</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 Interposto tempestivamente contro la sopraccitata decisione di chiusura, il ricorso è rice- vibile sotto il profilo degli art. 25 cpv. 1, 80e cpv. 1 e 80k AIMP. Titolare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sostiene che questa Corte, composta dai giudici Roy Garré, Daniel Kipfer e Nathalie Zufferey, unitamente al cancelliere Giampiero Vacalli, si sa- rebbe già più volte confrontata con la domanda di assistenza giudiziaria del 23 dicembre 2021 presentata dal NABU (v. sentenze del Tribunale penale fe- derale RR.2023.17 del 23 giugno 2023, nonché RR.2023.121 e RR.2023.122 del 13 novembre 2023), occasioni in cui essa avrebbe già statuito su censure simili a quelle qui presentate, respingendole in maniera chiara e definitiva. Do- vesse quindi la Corte dei reclami penali statuire nella presente procedura nella medesima composizione, l'esito della stessa sarebbe scontato e non più aperto. Da ciò l’istanza di ricusazione delle suddette persone, le quali sarebbero preve- nute e non più imparziali.</w:t>
      </w:r>
    </w:p>
    <w:p>
      <w:r>
        <w:rPr>
          <w:b/>
        </w:rPr>
        <w:t>E. 2.1.1</w:t>
      </w:r>
    </w:p>
    <w:p>
      <w:r>
        <w:t>L’art. 10 cpv. 1 PA prevede che le persone, cui spetti di prendere o preparare la decisione, devono ricusarsi: a) se hanno un interesse personale nella causa; b) se sono il coniuge o il partner registrato di una parte o convivono di fatto con essa; bbis) se sono parenti o affini in linea retta, o in linea collaterale fino al terzo grado, di una parte; c) se sono rappresentanti d’una parte o hanno agito per essa nella medesima causa; d) se possono avere per altri motivi una preven- zione nella causa. Secondo il cpv. 2 di tale disposizione, se la ricusazione è contestata, decide l’autorità di vigilanza; quando concerne un membro d’un col- legio, decide quest’ultimo senza il suo concorso. Ciò nonostante, il Tribunale federale ha già avuto modo di affermare che, in caso di ricusazione in blocco di un tribunale, quest’ultimo può statuire esso stesso sull’istanza allorquando que- sta è abusiva o manifestamente infondata (v. DTF 129 III 445 consid. 4.2.2; sentenza del Tribunale federale 6B_556/2015 del 7 luglio 2015 consid. 2;</w:t>
      </w:r>
    </w:p>
    <w:p>
      <w:r>
        <w:t>- 6 -</w:t>
      </w:r>
    </w:p>
    <w:p>
      <w:r>
        <w:t>WIEDERKEHR/MEYER/BÖHME, VwVG Kommentar, 2022, n. 42 ad art. 10 PA; CAPRARA/CERUTTI, La ricusazione nel procedimento civile, amministrativo e pe- nale, 2023, n. 301; BREITENMOSER/WEYENETH, in Waldmann/Krauskopf [ed.], Praxiskommentar Verwaltungsverfahrensgesetz, 3a ediz. 2023, n. 121 ad art. 10 PA). Di principio, un’istanza di ricusazione in blocco di membri di un’autorità chiamata a statuire è irricevibile, a meno che non siano presentati motivi di ri- cusazione concreti e individuali per ogni membro di tale autorità (v. sentenza del Tribunale federale 5A_249/2015 del 29 settembre 2015 consid. 5.1 con rin- vii). Una tale istanza in blocco senza indicazione dei motivi relativi a ogni mem- bro di un’autorità può nondimeno essere considerata, in certi casi, come diretta contro ogni membro individualmente a condizione tuttavia che l’istante motivi debitamente il suo approccio su tale punto (v. sentenze del Tribunale penale federale BB.2024.20 del 5 febbraio 2024 pag. 3 con rinvii).</w:t>
      </w:r>
    </w:p>
    <w:p>
      <w:r>
        <w:rPr>
          <w:b/>
        </w:rPr>
        <w:t>E. 2.1.2</w:t>
      </w:r>
    </w:p>
    <w:p>
      <w:r>
        <w:t>L'istituto giuridico della ricusazione vieta l'influsso sulla decisione di circostanze estranee al processo che potrebbero privarlo della necessaria oggettività in fa- vore o a pregiudizio di una parte (sentenza del Tribunale federale 7B_844/2023 del 15 dicembre 2023 consid. 2.1). Sebbene la semplice affermazione della par- zialità basata sui sentimenti soggettivi di una parte non sia sufficiente per fon- dare un dubbio legittimo sull'imparzialità del magistrato, non occorre che egli sia effettivamente prevenuto: per giustificare la sua ricusazione bastano infatti circostanze concrete idonee a suscitare l'apparenza di una prevenzione e a far sorgere un rischio di parzialità (v. CAPRARA/CERUTTI, op. cit., n. 267 e seg. e rinvii giurisprudenziali). La ricusazione riveste un carattere eccezionale. Sotto il profilo oggettivo, occorre ricercare se la persona ricusata offra le necessarie garanzie per escludere ogni legittimo dubbio di parzialità; in tale ambito sono considerati anche aspetti di carattere funzionale e organizzativo. Viene inoltre posto l'accento sull'importanza che possono rivestire le apparenze stesse. Tali circostanze possono risiedere in un determinato comportamento del magistrato interessato o nel ruolo da lui assunto per aspetti di natura funzionale o organiz- zativa. Decisivo è sapere se le apprensioni soggettive dell'interessato possono considerarsi oggettivamente giustificate (DTF 147 III 379 consid. 2.3.1, 89 con- sid. 4.1; 141 IV 178 consid. 3.2.1). Dev'essere garantito che il processo rimanga aperto nell'ottica di tutte le parti (DTF 143 IV 69 consid. 3.2; 133 I 89 consid. 3.3; 131 I 24 consid. 1.3; sentenza del Tribunale federale 1B_36/2022 del 4 feb- braio 2022 consid. 2.1) e questo anche se il giudice ha già avuto occasione in precedenza di affrontare fattispecie simili (v. DTF 143 IV 69 consid. 3.1; 140 I 326 consid. 5.1 e seg.; 137 II 431 consid. 5.3.2 e seg.). Ciò nondimeno, secondo la giurisprudenza e la dottrina, non vi è di per sé un’inammissibile prevenzione se un giudice è stato coinvolto in un procedimento precedente basato in parte sul medesimo contesto fattuale (v. DTF 115 Ia 34 consid. 2c/cc; RHINOW/KOLLER/KISS/THURNHERR/BRÜHL-MOSER, Öffentliches Prozessrecht, 4a ediz. 2021, n. 534; v. anche sentenza del Tribunale federale 1B_75/2020 del 10 dicembre 2020 consid. 2.2 e CHAIX, La récusation devant les tribunaux</w:t>
      </w:r>
    </w:p>
    <w:p>
      <w:r>
        <w:t>- 7 -</w:t>
      </w:r>
    </w:p>
    <w:p>
      <w:r>
        <w:t>(Aperçu de jurisprudence récente), CFPG, 2023, pag. 20) o riguardante la stessa persona ma in relazione ad altre fattispecie concrete (v. decisioni del Tribunale penale federale BB.2021.33 del 10 febbraio 2021; BB.2020.54 del</w:t>
      </w:r>
    </w:p>
    <w:p>
      <w:r>
        <w:rPr>
          <w:b/>
        </w:rPr>
        <w:t>E. 2.2</w:t>
      </w:r>
    </w:p>
    <w:p>
      <w:r>
        <w:t>In concreto, nella misura in cui l’istanza di ricusazione è stata presentata nei confronti dell’intero collegio giudicante, senza sostanziare in maniera concreta e individuale i motivi per cui ogni singolo membro della Corte sarebbe da ricu- sare in quanto prevenuto e non imparziale, vi è da dubitare della sua ricevibilità, visto che comunque le sentenze citate dal ricorrente non sono espressione dell’opinione di un singolo giudice ma di un organo collegiale chiamato a deli- berare secondo le modalità definite dalla legge (v. art. 57 cpv. 1 LOAP, art. 17 cpv. 1 e art. 19 cpv. 3 regolamento sull’organizzazione del TPF, ROTPF; RS 173.713.161). La questione di sapere se si possa comunque considerare che l’istanza sia diretta contro ogni membro individualmente, non necessita di es- sere approfondita, visto che essa, per i motivi che seguono, risulta comunque palesemente infondata nel merito e per tanto, in virtù della suddetta giurispru- denza, può essere esaminata dallo stesso collegio ricusato.</w:t>
      </w:r>
    </w:p>
    <w:p>
      <w:r>
        <w:t>Il fatto che questa Corte si sia già pronunciata su censure simili a quelle del ricorrente, proposte da altre persone coinvolte nel procedimento penale estero, non può evidentemente costituire motivo di ricusazione, visto che una determi- nata prassi giurisprudenziale, seppur riguardante lo stesso Paese e la stessa inchiesta estera, non può di per sé costituire motivo di ricusazione, visto che per ogni decisione impugnata il giudice dell’assistenza deve comunque valutare caso per caso la posizione di ogni singolo ricorrente, il suo ruolo nell’inchiesta estera, i differenti documenti da consegnare, i conti bancari toccati, le concrete misure richieste ecc. per cui l’esito del giudizio resta sempre aperto. Non fosse così, a fronte delle stesse inchieste estere, occorrerebbe costituire collegi giu- dicanti risp. organi decisionali diversi per ogni persona coinvolta, non soltanto presso questo Tribunale ma in definitiva anche presso l’UFG, le autorità di ese- cuzione e finanche al Tribunale federale, ciò che evidentemente, in assenza di oggettivi e concreti motivi di prevenzione, risulterebbe insensato e improponi- bile se non gonfiando gli effettivi degli apparati amministrativi e giudiziari sviz- zeri in maniera insostenibile sia sotto il profilo organizzativo che finanziario. In altre parole, assodato che il ricorrente non ha minimamente dimostrato che i singoli membri di questa Corte abbiano concreti motivi di prevenzione nei suoi confronti, preso atto che egli stesso sottolinea di non avere nulla da rimprove- rare loro sotto il profilo della condotta processuale e dei doveri professionali (v.</w:t>
      </w:r>
    </w:p>
    <w:p>
      <w:r>
        <w:t>- 8 -</w:t>
      </w:r>
    </w:p>
    <w:p>
      <w:r>
        <w:t>act. 15, pag. 10), il fatto che gli stessi debbano statuire nuovamente su censure simili a quelle già presentate da altri ricorrenti in relazione alla stessa inchiesta estera non costituisce palesemente un motivo di ricusazione ai sensi della giu- risprudenza (v. supra consid. 2.1.2).</w:t>
      </w:r>
    </w:p>
    <w:p>
      <w:r>
        <w:t>Da quanto sopra discende che la domanda di ricusazione di Roy Garré, Daniel Kipfer Fasciati, Nathalie Zufferey e Giampiero Vacalli va respinta nella misura della sua ricevibilità.</w:t>
      </w:r>
    </w:p>
    <w:p>
      <w:r>
        <w:t>3. Il ricorrente censura la violazione del suo diritto di essere sentito, nella misura in cui il MPC gli avrebbe concesso un accesso solo parziale agli atti dell’incarto.</w:t>
      </w:r>
    </w:p>
    <w:p>
      <w:r>
        <w:t>3.1 Il diritto di essere sentito sancito dall'art. 29 cpv. 2 Cost. contempla, tra l'altro, la facoltà per l'interessato di prendere conoscenza del fascicolo processuale. Nell'ambito dell'assistenza giudiziaria, il diritto d'accesso agli atti è concretizzato all'art. 80b AIMP così come agli art. 26 e 27 PA, applicabili in virtù del rinvio di cui all'art. 12 cpv. 1 AIMP (v. sentenza del Tribunale federale 1A.57/2007 del 14 settembre 2007 consid. 2.1). Giusta l'art. 80b AIMP, gli aventi diritto possono partecipare al procedimento ed esaminare gli atti sempreché ciò sia necessario alla tutela dei loro interessi. È avente diritto ai sensi dell'art. 80b cpv. 1 AIMP chi ha la qualità di parte e dispone pertanto della legittimazione ricorsuale giusta l'art. 80h lett. b AIMP. Sono da mettere a disposizione dell'avente diritto solo gli atti che lo concernono direttamente e personalmente. Il diritto d'accesso agli atti comprende tutti i documenti che possono essere rilevanti per la decisione: non solo quindi quelli raccolti in esecuzione della rogatoria, ma anche quelli concer- nenti la procedura rogatoriale in senso stretto, in particolare la domanda di as- sistenza e gli altri documenti dello Stato richiedente (decisione del Tribunale penale federale RR.2012.249 del 13 febbraio 2013 consid. 4.2; POPP, Grund- züge der internationalen Rechtshilfe in Strafsachen, 2000, pag. 315 n. 463).</w:t>
      </w:r>
    </w:p>
    <w:p>
      <w:r>
        <w:t>Una violazione del diritto di essere sentito da parte dell'autorità d'esecuzione non comporta automaticamente l'accoglimento del gravame e l'annullamento della decisione impugnata (v. WEISS/CASANOVA, Leichte oder schwere Ver- letzung des rechtlichen Gehörs?, in: ZBJV 2020, pag. 27 e segg.). Secondo la giurisprudenza e la dottrina una violazione lieve del diritto di essere sentito può essere sanata, se la persona toccata ottiene la possibilità di esprimersi in merito davanti a una autorità di ricorso, la quale, come nella fattispecie la Corte dei reclami penali del Tribunale penale federale, dispone del medesimo potere d'e- same dell'autorità d'esecuzione stessa (v. DTF 124 II 132 consid. 2d; sentenze del Tribunale federale 1C_660/2019 del 6 gennaio 2020 consid. 3.1; 1C_525/2008 e 1C_526/2008 del 28 novembre 2008 consid. 1.3 nonché 1A.54/2004 del 30 aprile 2004; TPF 2008 172 consid. 2.3; TPF 2007 57 consid.</w:t>
      </w:r>
    </w:p>
    <w:p>
      <w:r>
        <w:t>- 9 -</w:t>
      </w:r>
    </w:p>
    <w:p>
      <w:r>
        <w:t>3.2; ZIMMERMANN, La coopération judiciaire internationale en matière pénale, 5a ediz. 2019, n. 472).</w:t>
      </w:r>
    </w:p>
    <w:p>
      <w:r>
        <w:t>3.2 In concreto, si rileva che il MPC, con scritto del 19 ottobre 2023, ha trasmesso al ricorrente tutti gli atti che riguardano quest’ultimo, ossia: la rogatoria del 23 di- cembre 2021; la decisione di entrata del merito del 28 gennaio 2022; il decreto relativo all’obbligo di consegna destinato alla banca C. del 12 luglio 2023 unita- mente al complemento del 16 agosto 2023; la decisione di chiusura del 22 di- cembre 2022 qui impugnata; la documentazione bancaria litigiosa (v. act. 6, pag. 2 e seg.). L’autorità d’esecuzione ha legittimamente oscurato le parti di determinati documenti che non riguardano il ricorrente, affermando che “si tratta di tutti – nonché i soli – documenti che riguardano la persona toccata con riferi- mento al procedimento rogatoriale in questione. Non vi sono agli atti altri docu- menti riferiti ad A. – come emerge anche dall’elenco atti (con omissis relativi alle parti che non riguardano il qui ricorrente) che viene prodotto con la presente risposta – altrimenti il MPC li avrebbe messi a disposizione del patrocinatore del ricorrente” (act. 6, pag. 3). Per quanto riguarda la rogatoria, la medesima auto- rità aggiunge che “la stessa è stata annerita solo laddove venivano evocate parti terze rispetto al qui ricorrente, ininfluenti per rapporto alla posizione di quest’ul- timo, che ad ogni momento ha potuto esprimersi in piena cognizione di causa (e sulla base di tutti gli atti che lo riguardano) come attesta del resto il suo arti- colato ricorso” (ibidem).</w:t>
      </w:r>
    </w:p>
    <w:p>
      <w:r>
        <w:t>Alla luce di queste precisazioni dell’autorità precedente, confermate dalla docu- mentazione agli atti, non si può che constatare che il ricorrente ha avuto ac- cesso all’integralità degli atti che lo concernono, nel pieno rispetto della sud- detta giurisprudenza. Ne consegue che la relativa censura va respinta.</w:t>
      </w:r>
    </w:p>
    <w:p>
      <w:r>
        <w:t>3.3 In sede di replica, il ricorrente ha altresì censurato la mancata messa a dispo- sizione da parte del MPC di un rapporto del 20 maggio 2019 redatto dalla so- cietà D., la quale, su incarico della banca B., avrebbe fatto luce sui vari flussi di denaro verso la Svizzera oggetto dell’inchiesta estera. Egli lamenta inoltre la messa a sua disposizione tardiva della trasmissione spontanea d’informazione ex art. 67a AIMP effettuata dal MPC il 14 dicembre 2020, a monte della rogato- ria ucraina.</w:t>
      </w:r>
    </w:p>
    <w:p>
      <w:r>
        <w:t>Ora, premesso che tali censure avrebbero potuto essere presentate col ricorso, visto che dalla semplice lettura dell’incarto già a sua disposizione avrebbe po- tuto subito avvedersi di un’eventuale violazione del suo diritto di essere sentito in relazione a questi documenti (v. act. 1.3, pag. 2, nonché act. 1.5), si rileva che, per quanto riguarda il summenzionato rapporto del 20 maggio 2019, nella misura in cui esso è sì citato nella rogatoria ma non è stato fornito al MPC – tale documento non figura nell’elenco atti del MPC (v. rubrica 1 incarto MPC) –, la censura, tardiva e in definitiva anche infondata, risulta irricevibile (v. art. 32 PA).</w:t>
      </w:r>
    </w:p>
    <w:p>
      <w:r>
        <w:t>- 10 -</w:t>
      </w:r>
    </w:p>
    <w:p>
      <w:r>
        <w:t>Alla stessa conclusione occorre giungere per quanto concerne la citata trasmis- sione spontanea d’informazioni, tanto più che il ricorrente ha potuto prenderne comunque conoscenza, come da lui stesso asserito (v. act. 17, pag. 6), il 2 feb- braio 2024 (v. act. 17.2), ossia prima di inoltrare la sua replica. Pur avendone avuto la possibilità egli non ha tuttavia sollevato censure di merito su questo documento, asserendo, a torto, che il tenore dell’invito a presentare la replica (act. 9), lo rendeva impossibile, quando in realtà è pacifico che in applicazione dell’art. 32 cpv. 2 PA le sue eventuali censure al riguardo avrebbero potuto es- sere tenute in considerazione, tanto più che egli ha richiesto e ottenuto due proroghe del termine per replicare (v. act. 10 e 11). È ovvio infatti che quando nell’invito a presentare la replica si afferma che essa si deve basare esclusiva- mente sulle conclusioni ed atti menzionati nelle risposte, aggiungendo che “al- legazioni tardive non verranno di principio prese in considerazione” ciò non può che essere inteso, a maggior ragione da un patrocinatore professionista, come richiamo alle regole dell’art. 52 e dell’art. 32 PA e dei relativi principi processuali (v. DTF 136 II 165 consid. 4; MOSER, in Auer/Müller/Schindler [ed.], op. cit., n. 4 ad art. 52 PA). Ciò considerato, va comunque rilevato che nella sua risposta il MPC ribadisce ulteriormente l’esistenza della trasmissione spontanea in que- stione (v. act. 6, pag. 2), per cui la critica del ricorrente risulta comunque infon- data. Anche questa censura, oltre ad essere tardiva, non si rivela dunque né decisiva né di conseguenza ammissibile ex art. 32 cpv. 2 PA.</w:t>
      </w:r>
    </w:p>
    <w:p>
      <w:r>
        <w:t>4. L’insorgente sostiene che l’esposto dei fatti contenuto nella domanda di assi- stenza giudiziaria ucraina sarebbe lacunoso e contraddittorio, e non permette- rebbe nemmeno di verificare l’adempimento della condizione della doppia pu- nibilità.</w:t>
      </w:r>
    </w:p>
    <w:p>
      <w:r>
        <w:t>4.1 4.1.1 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altresì un breve esposto dei fatti essenziali, al fine di permettere allo Stato ro- gato di verificare che non sussistano condizioni ostative all'assistenza (DTF 129 II 97 consid. 3; 118 Ib 111 consid. 5b pag. 121, 547 consid. 3a; 117 Ib 64 con- 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 con- sid. 6b/aa; 122 II 367 consid. 2c; sentenza del Tribunale penale federale RR.2017.92 del 18 luglio 2017 consid. 2.2). L'autorità rogata non si scosta</w:t>
      </w:r>
    </w:p>
    <w:p>
      <w:r>
        <w:t>- 11 -</w:t>
      </w:r>
    </w:p>
    <w:p>
      <w:r>
        <w:t>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t>4.1.2 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Nel diritto interno, tale principio è espresso all'art. 64 cpv. 1 AIMP. Il giudice dell'assistenza e prima di esso le autorità d'esecuzione non devono procedere a un esame dei reati e delle norme penali menzionati nella domanda di assistenza e verificare la loro corrispondenza con le norme del diritto svizzero,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 sid. 3b/aa pag. 546; 116 Ib 89 consid. 3b/bb; 112 Ib 576 consid. 11b/bb pag. 594). I fatti incriminati non devono forzatamente essere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 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federale 1A.205/2006 del 7 dicembre 2006 consid. 3.2 e sentenza del Tribunale penale federale RR.2007.36 del 7 maggio 2007 consid. 1 con rinvii).</w:t>
      </w:r>
    </w:p>
    <w:p>
      <w:r>
        <w:t>4.2 4.2.1 In concreto, la rogatoria ha ben illustrato l’oggetto del procedimento penale estero, ampiamente ripreso dal MPC nella decisione impugnata. In particolare, “l’attività di indagine condotta dall’autorità rogante ha […] permesso di appurare che dopo l’approvazione del programma di rifinanziamento da parte della banca E. avvenuta nel 2016, funzionari e azionisti della banca B., ossia A. e F., che dovevano garantire circa la tenuta della banca, erano obbligati a intraprendere misure volte all’aumento di capitale nell’ordine di (equivalenti) USD 3,6 miliardi, ciò che sarebbe dovuto avvenire modificando la struttura dei prestiti sino ad allora messa in atto, in particolare trasferendo gli stessi a entità con sufficienti indici di rendimento e con il deposito di garanzie aggiuntive. Nonostante queste</w:t>
      </w:r>
    </w:p>
    <w:p>
      <w:r>
        <w:t>- 12 -</w:t>
      </w:r>
    </w:p>
    <w:p>
      <w:r>
        <w:t>chiare direttive contenute nel programma di risanamento e gli obblighi degli ex azionisti di maggioranza, nel corso del 2016 ben 193 prestiti erogati a entità sotto il controllo degli ex azionisti sono stati in seguito trasferiti verso trentasei società - la maggior parte delle quali di nuova creazione - che non disponevano di mezzi finanziari sufficienti per rimborsare i prestiti, non disponendo in ag- giunta nemmeno dei requisiti per ottenerli, data l’assenza di reali attività com- merciali. Inoltre venivano applicati tassi di interesse sensibilmente inferiori ai tassi di mercato unitamente a dei termini di rimborso molto estesi. Tutte queste trentasei società alle quali sono stati trasferiti i vecchi prestiti sono collegate alla banca B. e non vi sono fonti chiare, certe e trasparenti in ordine alla loro capa- cità economica. In altre parole, l’indagine ha permesso di acclarare che la banca B. ha concesso prestiti a società senza procedere a una valutazione della loro solvibilità e senza ottenere delle garanzie, come invece previsto contrattual- mente. Come conseguenza di tutto quanto appena descritto, l’elevata esposi- zione debitoria della banca B. ha minacciato il sistema finanziario dell’Ucraina a causa dell’importanza sistemica che questo istituto finanziario ricopriva” (act. 1.3, pag. 2). Da quanto emerso dalle indagini estere, nonché sulla base d’infor- mazioni comunicate dal MPC all’autorità rogante, “emerge che il conto oggetto della presente decisione è stato alimentato, in data 13 maggio 2014, da un bo- nifico di USD 5 milioni - in provenienza da un conto intestato allo stesso A. presso la filiale cipriota della banca B.- che l'autorità estera sospetta possa avere la propria origine nel sistema dei prestiti fraudolenti, e quindi di condotte distrattive, a danno della banca B.” (ibidem, pag. 4).</w:t>
      </w:r>
    </w:p>
    <w:p>
      <w:r>
        <w:t>Quanto precede soddisfa le esigenze normative e giurisprudenziali poste in materia di esposto dei fatti. Il quadro generale dell’inchiesta, il ruolo dei soggetti coinvolti, le condotte loro rimproverate, la cruciale importanza del bonifico di 5'000'000.– USD a favore del conto del ricorrente, il legame con le presunte distrazioni a danno della banca B., tutti questi elementi sono dettagliatamente descritti nella rogatoria e permettono di valutare la sussistenza o meno di even- tuali condizioni ostative all’assistenza. Errori, lacune o altre contraddizioni non sono in alcun modo ravvisabili. Per il resto, non spetta al giudice dell'assistenza approfondire ulteriormente la fattispecie oggetto d'inchiesta, tantomeno otte- nere le prove dei contestati reati. Sarà proprio la documentazione litigiosa a permettere all'autorità estera di progredire nella sua attività investigativa e di acclarare ulteriormente le condotte mosse a carico dei soggetti indagati e in particolare del ricorrente. La censura va dunque respinta.</w:t>
      </w:r>
    </w:p>
    <w:p>
      <w:r>
        <w:t>4.2.2 Inoltre, se trasposti nel contesto giuridico elvetico, i fatti sopra descritti possono senz'altro essere sussunti ai reati di amministrazione infedele (art. 158 CP) e appropriazione indebita (art. 138 CP), per cui la condizione della doppia punibi- lità è senz’altro ossequiata. Le censure in merito del ricorrente riguardano in sostanza il diritto ucraino, segnatamente la natura pubblica o privata della banca B., e altri aspetti specifici che non rientrano nell’esame del giudice</w:t>
      </w:r>
    </w:p>
    <w:p>
      <w:r>
        <w:t>- 13 -</w:t>
      </w:r>
    </w:p>
    <w:p>
      <w:r>
        <w:t>svizzero dell’assistenza, né sotto il profilo della doppia punibilità né sotto altri profili rilevanti in ambito di assistenza giudiziaria internazionale in materia pe- nale.</w:t>
      </w:r>
    </w:p>
    <w:p>
      <w:r>
        <w:t>4.3 In sede di replica, il ricorrente contesta la competenza del NABU per presentare la contestata rogatoria, nella misura in cui esso non figurerebbe nella lista delle autorità ucraine autorizzate all’uopo (v. art. 6 PAII CEAG).</w:t>
      </w:r>
    </w:p>
    <w:p>
      <w:r>
        <w:t>4.3.1 L’art. 3 n. 1 CEAG prevede che la Parte richiesta farà eseguire, nelle forme previste dalla sua legislazione, le commissioni rogatorie relative a un affare pe- nale che le saranno trasmesse dalle autorità giudiziarie della Parte richiedente e che hanno per oggetto di compiere atti istruttori o di comunicare mezzi di prova, inserti o documenti. Secondo l’art. 4 n. 1 PAII CEAG, che sostituisce l’art. 15 CEAG, le domande d’assistenza giudiziaria così come ogni informazione spontanea sono trasmesse per scritto dal Ministero di Giustizia della Parte ri- chiedente al Ministero di Giustizia della Parte richiesta e rispedite per la stessa via. Tuttavia possono essere trasmesse direttamente dall’autorità giudiziaria della Parte richiedente all’autorità giudiziaria della Parte richiesta e rispedite per la stessa via. Giusta l’art. 6 PAII CEAG, che sostituisce l’art. 24 CEAG, ogni Stato, al momento della firma o del deposito dello strumento di ratificazione, accettazione, approvazione o adesione, indica, mediante dichiarazione tra- smessa al Segretario Generale del Consiglio d’Europa, quali autorità considera come autorità giudiziarie ai fini della presente Convenzione. Successivamente può, in qualsiasi momento e secondo le medesime modalità, modificare i termini della sua dichiarazione.</w:t>
      </w:r>
    </w:p>
    <w:p>
      <w:r>
        <w:t>4.3.2 In concreto, questa Corte ha già avuto modo di affermare che il NABU è un’au- torità giudiziaria legittimata a presentare domande di assistenza giudiziaria in materia penale alla Svizzera (v. sentenza del Tribunale penale federale RR.2016.271 del 4 maggio 2017 consid. 10; v. anche ZIMMERMANN, op. cit., n. 560, nota 33). Esso ha del resto già più volte ottenuto in passato assistenza da parte elvetica (v. rapporto di attività 2020 dell’UFG, Assistenza giudiziaria inter- nazionale, pag. 23). Il fatto che tale autorità non figuri nell’elenco di cui all’art. 6 PAII CEAG, disposizione di natura puramente pratico-organizzativa, non inficia quanto precede. Appurato che la rogatoria del NABU è stata presentata nell’am- bito di un procedimento penale per reati corruttivi di sua competenza (www.nabu.gov.ua/en/about-the-bureau/zasadi-roboti/zapytannya-vidpovidi/), a seguito peraltro di una precedente trasmissione spontanea d’informazioni ef- fettuata dal MPC (v. act. 17.2), la censura in questione, tardiva e non decisiva ai sensi dell’art. 32 cpv. 2 PA, risulta inammissibile.</w:t>
      </w:r>
    </w:p>
    <w:p>
      <w:r>
        <w:t>- 14 -</w:t>
      </w:r>
    </w:p>
    <w:p>
      <w:r>
        <w:t>5. Il ricorrente afferma che, contrariamente a quanto indicato nella rogatoria, il se- questro della documentazione litigiosa, soggetta al segreto bancario, necessi- terebbe di un ordine del giudice ucraino, il quale farebbe difetto.</w:t>
      </w:r>
    </w:p>
    <w:p>
      <w:r>
        <w:t>5.1 L’autorità svizzera d’esecuzione è tenuta, in virtù dei trattati di cui sopra al con- sid. 2.1, a prestare la più ampia assistenza giudiziaria possibile che le viene richiesta da una parte contraente. Di principio, non deve pronunciarsi sulla com- patibilità dell’assistenza giudiziaria con il diritto dello Stato richiedente, dovendo essa soltanto esaminare se l’assistenza giudiziaria è ammissibile secondo il di- ritto nazionale e internazionale applicabili (v. sentenze del Tribunale penale fe- derale RR.2021.17 del 29 aprile 2021 consid. 3 ; RR.2007.143 del 3 dicembre 2007 consid. 4; ZIMMERMANN, op. cit., n. 558 pag. 591 e seg.). Se una domanda di assistenza giudiziaria valida è stata presentata in Svizzera, l’autorità richiesta non è di regola tenuta ad una presa in esame di decisioni emesse nel frattempo nello Stato richiedente (v. sentenze del Tribunale penale federale RR.2021.53- 54 del 20 maggio 2021 consid. 5.1). La concessione di assistenza in materia penale presuppone la competenza repressiva dello Stato richiedente; la deci- sione sulla propria competenza spetta di principio allo Stato rogante e può es- sere respinta soltanto nei casi in cui le autorità giudiziarie di quest'ultimo risul- tino manifestamente incompetenti a procedere, ovvero se la loro competenza viene fondata in maniera arbitraria (DTF 126 II 212 consid. 6; TPF 2013 97 con- sid. 5.2).</w:t>
      </w:r>
    </w:p>
    <w:p>
      <w:r>
        <w:t>5.2 In concreto, il NABU ha presentato alla Svizzera una domanda di assistenza nell’ambito di una procedura penale contro ignoti al fine di ottenere documen- tazione riguardante svariate relazioni bancarie sulle quali sarebbero giunti valori patrimoniali legati alle distrazioni a danno della banca B. Nella sua rogatoria, esso afferma che «das NAB sieht vor, dass die angefragten Informationen und Unterlagen von der Staatsanwaltschaft der Schweizerischen Eidgenossen- schaft erhalten werden können. In diesem Zusammenhang, nach der Gesetz- gebung der Ukraine, und zwar nach Art. 93 der Strafprozessordnung der Ukra- ine, braucht man die Gerichtserlaubnis für den Erhalt der genannten Unterlagen und Information nicht» (atto 01-00-0008 incarto MPC). Ora, ribadito che non tocca di principio al giudice dell’assistenza approfondire il contenuto del diritto estero, questa Corte ritiene che, alla luce della dichiarazione dell’autorità ucraina, della cui veridicità, in virtù del principio della buona fede tra Stati (v. DTF 144 II 206 consid. 4.4 e rinvii), non vi è motivo di dubitare, va semplice- mente preso atto del fatto che secondo il diritto procedurale ucraino l’autorizza- zione in questione non è necessaria. In base all’art. 76 lett. c AIMP in questi casi è sufficiente una conferma da parte dello Stato richiedente che questi prov- vedimenti sono ammissibili. Ulteriori verifiche da parte del giudice dell’assi- stenza non sono previste né in virtù dei trattati in concreto applicabili né del diritto nazionale (v. sentenza del Tribunale federale 1C_342/2023 del 14 luglio</w:t>
      </w:r>
    </w:p>
    <w:p>
      <w:r>
        <w:t>- 15 -</w:t>
      </w:r>
    </w:p>
    <w:p>
      <w:r>
        <w:t>2023 consid. 2.2). La censura, che potrà semmai essere presentata dinanzi al giudice del merito estero, va quindi respinta.</w:t>
      </w:r>
    </w:p>
    <w:p>
      <w:r>
        <w:rPr>
          <w:b/>
        </w:rPr>
        <w:t>E. 6</w:t>
      </w:r>
    </w:p>
    <w:p>
      <w:r>
        <w:t>Il ricorrente sostiene, infine, che la contestata trasmissione sarebbe contraria al principio della proporzionalità, nella misura in cui verrebbero consegnati all’au- torità ucraina anche documenti inutili per la sua inchiesta. A suo avviso, l’auto- rità d’esecuzione avrebbe altresì ordinato la trasmissione di documenti non ri- chiesti dall’autorità estera.</w:t>
      </w:r>
    </w:p>
    <w:p>
      <w:r>
        <w:rPr>
          <w:b/>
        </w:rPr>
        <w:t>E. 6.1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 sen- 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w:t>
      </w:r>
    </w:p>
    <w:p>
      <w:r>
        <w:t>- 16 -</w:t>
      </w:r>
    </w:p>
    <w:p>
      <w:r>
        <w:t>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esclude tuttavia la possibilità di interpretare la commissione rogatoria nel senso che ragionevol- 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 formazioni e dei documenti non espressamente menzionati nella domanda di</w:t>
      </w:r>
    </w:p>
    <w:p>
      <w:r>
        <w:t>- 17 -</w:t>
      </w:r>
    </w:p>
    <w:p>
      <w:r>
        <w:t>assistenza (TPF 2009 161 consid. 5.2; sentenze del Tribunale penale federale RR.2010.39 del 28 aprile 2010 consid. 5.1, e RR.2010.8 del 16 aprile 2010 con- sid. 2.2) ed incombe alla persona toccata dalla misura dimostrare in maniera chiara e precisa perché i documenti e le informazioni in questione vanno oltre il senso che si può ragionevolmente attribuire alla domanda rogatoriale, rispetti- vamente non presentano nessun interesse per la procedura estera.</w:t>
      </w:r>
    </w:p>
    <w:p>
      <w:r>
        <w:rPr>
          <w:b/>
        </w:rPr>
        <w:t>E. 6.2</w:t>
      </w:r>
    </w:p>
    <w:p>
      <w:r>
        <w:t>Nella fattispecie, alla luce di quanto già esposto in precedenza, l’utilità poten- ziale della documentazione litigiosa è certamente data (v. supra consid. 4.2.1). Come indicato dalla giurisprudenza (v. supra consid. 6.1), vista la natura dei reati ipotizzati, tutta la documentazione bancaria va trasmessa alle autorità ucraine, affinché queste possano ricostruire tutti i flussi di denaro di potenziale origine criminale. Il fatto che il conto oggetto della presente decisione è stato alimentato, in data 13 maggio 2014, da un bonifico di USD 5 milioni – in prove- nienza da un conto intestato allo stesso ricorrente presso la filiale cipriota della banca B. – che l'autorità estera sospetta possa avere la propria origine nel si- stema dei prestiti fraudolenti, e quindi di condotte distrattive, a danno della banca B., dimostra palesemente l’utilità potenziale della documentazione in questione. Spetterà comunque al giudice estero del merito valutare se dalla do- cumentazione bancaria inoltrata emerge in concreto una connessione penal- mente rilevante fra i fatti oggetto della procedura penale in Ucraina e la stessa documentazione. In definitiva, la trasmissione di quest’ultima rispetta il principio della proporzionalità.</w:t>
      </w:r>
    </w:p>
    <w:p>
      <w:r>
        <w:rPr>
          <w:b/>
        </w:rPr>
        <w:t>E. 7</w:t>
      </w:r>
    </w:p>
    <w:p>
      <w:r>
        <w:t>In conclusione, il ricorso va respinto nella misura della sua ammissibilità e la decisione impugnata confermata.</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5'000.–, a carico del ricorrente; essa è coperta dall'anticipo delle spese già versato.</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