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 vom 21. November 2023</w:t>
      </w:r>
    </w:p>
    <w:p>
      <w:r>
        <w:t>Bundesstrafgericht, 2023-11-21, FR</w:t>
      </w:r>
    </w:p>
    <w:p>
      <w:r>
        <w:rPr>
          <w:b/>
        </w:rPr>
        <w:t xml:space="preserve">Quelle: </w:t>
      </w:r>
      <w:r>
        <w:t>https://mcp.opencaselaw.ch/entscheid/bstger_RR.2023.16</w:t>
      </w:r>
    </w:p>
    <w:p>
      <w:r>
        <w:t>FR: TPF RR.2023.16 du 21 novembre 2023</w:t>
      </w:r>
    </w:p>
    <w:p>
      <w:r>
        <w:t>IT: TPF RR.2023.16 del 21 novembre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Bien que le recours soumis à l’examen du Tribunal pénal fédéral ait été rédigé en italien comme le permet l’art. 6 al. 1 de la loi fédérale du</w:t>
      </w:r>
    </w:p>
    <w:p>
      <w:r>
        <w:rPr>
          <w:b/>
        </w:rPr>
        <w:t>E. 1.2</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Peuvent en outre s’appliquer, en particulier, les art. 43 ss de la Convention des Nations Unies contre la corruption du 31 octobre 2003, en vigueur pour la Suisse depuis le 24 octobre 2009 et pour le Portugal dès le 28 octobre 2007 (UNCAC; RS 0.311.56).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11 octobre 2011 consid. 1).</w:t>
      </w:r>
    </w:p>
    <w:p>
      <w:r>
        <w:rPr>
          <w:b/>
        </w:rPr>
        <w:t>E. 1.3</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w:t>
      </w:r>
    </w:p>
    <w:p>
      <w:r>
        <w:t>- 5 -</w:t>
      </w:r>
    </w:p>
    <w:p>
      <w:r>
        <w:t>l'entraide s'applique aussi en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rPr>
          <w:b/>
        </w:rPr>
        <w:t>E. 1.4</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PA sont, en outre, applicables à la présente procédure de recours (art. 12 al. 1 EIMP, art. 39 al. 2 let. b en lien avec l’art. 37 al. 2 let. a ch. 1 LOAP).</w:t>
      </w:r>
    </w:p>
    <w:p>
      <w:r>
        <w:rPr>
          <w:b/>
        </w:rPr>
        <w:t>E. 1.5</w:t>
      </w:r>
    </w:p>
    <w:p>
      <w:r>
        <w:t>Titulaire de la relation bancaire dont le MPC ordonne la transmission de la documentation à l’Etat requérant, le recourant dispose de la qualité pour recourir contre le prononcé entrepris (art. 80h let. b EIMP et 9a let. a et b OEIMP; ATF 137 IV 134 consid. 5; 118 Ib 547 consid. 1d).</w:t>
      </w:r>
    </w:p>
    <w:p>
      <w:r>
        <w:rPr>
          <w:b/>
        </w:rPr>
        <w:t>E. 1.6</w:t>
      </w:r>
    </w:p>
    <w:p>
      <w:r>
        <w:t>Interjeté le 31 janvier 2023, contre une décision notifiée le 2 janvier 2023, le recours a été déposé en temps utile (art. 80k EIMP).</w:t>
      </w:r>
    </w:p>
    <w:p>
      <w:r>
        <w:rPr>
          <w:b/>
        </w:rPr>
        <w:t>E. 1.7</w:t>
      </w:r>
    </w:p>
    <w:p>
      <w:r>
        <w:t>Le recours est recevable et il y a lieu d’entrer en matière.</w:t>
      </w:r>
    </w:p>
    <w:p>
      <w:r>
        <w:t>2. Dans un grief qu’il convient d’examiner en premier lieu, vu sa nature formelle, le recourant se plaint d’une violation de son droit d’être entendu. Le MPC lui aurait remis la documentation d’entraide caviardée, sans motiver les raisons de ce caviardage (act. 1, p. 14 ss).</w:t>
      </w:r>
    </w:p>
    <w:p>
      <w:r>
        <w:t>2.1</w:t>
      </w:r>
    </w:p>
    <w:p>
      <w:r>
        <w:t>2.1.1 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w:t>
      </w:r>
    </w:p>
    <w:p>
      <w:r>
        <w:t>- 6 -</w:t>
      </w:r>
    </w:p>
    <w:p>
      <w:r>
        <w:t>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2.1.2 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2.1.3 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w:t>
      </w:r>
    </w:p>
    <w:p>
      <w:r>
        <w:t>- 7 -</w:t>
      </w:r>
    </w:p>
    <w:p>
      <w:r>
        <w:t>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t>2.2 En l’espèce, dans sa décision querellée (act. 1.2, p. 6), comme dans sa réplique (act. 9, p. 3 s.), après avoir cité la loi et la jurisprudence applicables, le MPC précise que le recourant a eu accès à la demande d’entraide n. 49/2022 du 20 avril 2022, très partiellement caviardée, en français et en portugais; une copie de l’ordonnance d’entrée en matière du 20 septembre 2022, ainsi que des pièces requises par les autorités portugaises lui a également été remise; il a ainsi pu consulter l’ensemble des pièces principales du dossier d’entraide, lesquelles contiennent une description intelligible des faits et rendent possible la compréhension de l’état de fait à l’origine de la demande et son implication. 2.3 La motivation de la décision entreprise, en tant que le MPC y cite, en particulier, les principes jurisprudentiels applicables aux pièces et/ou passages superflus ou ne concernant pas le titulaire du droit de consulter le dossier, permet de comprendre, sans plus amples développements, comme l’a d’ailleurs fait le recourant (act. 18, p. 5), que les passages caviardés de la demande d’entraide ne sont pas pertinents et/ou ne concernent pas le recourant, de sorte, que le grief y relatif tombe à faux.</w:t>
      </w:r>
    </w:p>
    <w:p>
      <w:r>
        <w:t>2.4 Il y a ainsi lieu d’admettre, avec le MPC, que le recourant a eu accès – comme la Cour de céans – aux pièces pertinentes du dossier d’entraide le concernant, sur la base desquelles il a été en mesure de comprendre et d’attaquer efficacement la décision querellée, puisqu’il a soulevé des griefs bien précis et argumentés, traités dans le présent arrêt (v. infra consid. 3 s.).</w:t>
      </w:r>
    </w:p>
    <w:p>
      <w:r>
        <w:t>2.5 Quant au silence reproché de la décision entreprise, relatif à l’absence d’indication, dans la demande d’entraide, des noms des personnes prévenues dans la procédure pénale portugaise n. 1 (act. 1, p. 4 et 11), le MPC mentionne, dans le prononcé entrepris, les noms, en particulier, de C.</w:t>
      </w:r>
    </w:p>
    <w:p>
      <w:r>
        <w:t>- 8 -</w:t>
      </w:r>
    </w:p>
    <w:p>
      <w:r>
        <w:t>et G., comme auteurs des faits objet de l’enquête portugaise, lesquels figurent dans la demande d’entraide (v. supra Faits, let. A). Ce faisant, il a, implicitement, écarté la carence alléguée le 1er décembre 2022 (v. supra Faits, let. C). En outre, dans sa duplique du 4 mai 2023 (act. 21), le MPC a communiqué la liste des personnes – physiques et morales – prévenues dans la procédure portugaise n. 1, selon les informations reçues de l’Etat requérant, de sorte que même à admettre une éventuelle violation du droit d'être entendu par l'autorité d'exécution, ce qui n’est pas le cas en l’espèce, celle-ci aurait pu être guérie dans le cadre de la procédure de recours auprès de la Cour de céans (arrêts du Tribunal fédéral 1C_703/2017 du 8 janvier 2018 consid. 3; 1C_168/2016 du 22 avril 2016 consid. 1.3.2; TPF 2008 172 consid. 2.3). Au surplus, il est renvoyé au considérant 3.2 du présent arrêt.</w:t>
      </w:r>
    </w:p>
    <w:p>
      <w:r>
        <w:t>2.6 Le sort du grief est ainsi scellé.</w:t>
      </w:r>
    </w:p>
    <w:p>
      <w:r>
        <w:t>3. Le recourant se prévaut d’une violation des art. 28 EIMP et 14 CEEJ, pour conclure à l’irrecevabilité de la demande d’entraide portugaise. La demande d’entraide ne mentionnerait pas les personnes prévenues dans la procédure n. 1 à la base de la demande d’entraide du 20 avril 2022 (act. 1, p. 10 ss). 3.1</w:t>
      </w:r>
    </w:p>
    <w:p>
      <w:r>
        <w:t>3.1.1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w:t>
      </w:r>
    </w:p>
    <w:p>
      <w:r>
        <w:t>- 9 -</w:t>
      </w:r>
    </w:p>
    <w:p>
      <w:r>
        <w:t>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t>3.2 En l’espèce, il ressort de la demande d’entraide du 20 avril 2022 que la procédure pénale portugaise n. 1, à la base de ladite demande, est menée en relation avec la débâcle du groupe B., affaire elle-même objet de la procédure pénale portugaise n. 2 (act. 1.3, p. 2 de la demande d’entraide en français). Comme le précise le MPC, tant dans la décision entreprise que dans ses réplique et duplique, la procédure n. 2, menée, principalement, à l’encontre de C., a donné lieu à de nombreuses demandes d’entraide de la part de l’Etat requérant aux autorités helvétiques et est, en particulier, connue de l’autorité précédente (act. 1.2, p. 1 s.; act. 9, p. 2 s. et act. 21). En outre, il ressort de la demande d’entraide que les faits reprochés ont été commis « sous la houlette », « sous le commandement » et « sous les ordres » de C. (act. 1.3, p. 4 et 6 de la demande d’entraide en français), ce qui suffit à retenir, comme l’a fait le MPC, que la procédure portugaise n. 1 est ouverte, notamment, contre le précité, ainsi que cela a été confirmé par l’Etat requérant (act. 21). 3.3 S’agissant de l’implication du recourant dans les faits sous enquête au Portugal, si elle est, comme l’a, à juste titre, précisé le MPC, indépendante de sa qualité de personne touchée par la mesure d’entraide, selon la jurisprudence, celui dont le compte bancaire pourrait avoir servi, même à son insu, à commettre une infraction, voire à transférer ou à dissimuler le produit d’une infraction ne peut en principe pas être considéré comme un tiers non impliqué (v. ATF 139 lI 451 consid. 2.2.3 et arrêts cités; 139 IV 137 consid. 4.6.6 et arrêt cité). Quant à son lien de parenté par alliance, il ne prétend pas qu’il n’a jamais existé, uniquement qu’il n’existerait plus, suite au divorce de sa fille intervenu en 2011 (act. 1, p. 8 s.). 3.4 La demande d’entraide contient les indications requises, par les dispositions précitées de la CEEJ et de l'EIMP, de sorte que le grief est infondé.</w:t>
      </w:r>
    </w:p>
    <w:p>
      <w:r>
        <w:t>- 10 -</w:t>
      </w:r>
    </w:p>
    <w:p>
      <w:r>
        <w:t>3.5 Le recourant ne faisant valoir aucun argument qui justifierait de s’en écarter, il y a lieu de s’en tenir à la présentation des faits de la demande d’entraide, pour l’examen de la double incrimination.</w:t>
      </w:r>
    </w:p>
    <w:p>
      <w:r>
        <w:t>4. De l’avis du recourant, les faits décrits dans la demande d’entraide ne permettraient pas de retenir, comme l’a fait le MPC, les infractions de corruption d’agents publics étrangers (art. 322septies CP) et de blanchiment d’argent (art. 305bis CP), mais, tout au plus, d’octroi ou d’acceptation d’un avantage (art. 322quinquies et 322sexies CP), lesquelles constituent des délits n’ouvrant pas la voie au blanchiment d’argent et seraient prescrites, selon le droit suisse (act. 1, p. 16 ss).</w:t>
      </w:r>
    </w:p>
    <w:p>
      <w:r>
        <w:t>4.1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w:t>
      </w:r>
    </w:p>
    <w:p>
      <w:r>
        <w:rPr>
          <w:b/>
        </w:rPr>
        <w:t>E. 5</w:t>
      </w:r>
    </w:p>
    <w:p>
      <w:r>
        <w:t>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5.1.1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w:t>
      </w:r>
    </w:p>
    <w:p>
      <w:r>
        <w:t>- 14 -</w:t>
      </w:r>
    </w:p>
    <w:p>
      <w:r>
        <w:t>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5.1.3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5.2</w:t>
      </w:r>
    </w:p>
    <w:p>
      <w:r>
        <w:t>En l’espèce, le numéro IBAN correspondant à la relation bancaire ouverte au nom du recourant près la banque L., dont l’Etat requérant sollicite la transmission de la documentation, apparaît dans les échanges liés au</w:t>
      </w:r>
    </w:p>
    <w:p>
      <w:r>
        <w:t>- 15 -</w:t>
      </w:r>
    </w:p>
    <w:p>
      <w:r>
        <w:t>montage de société offshores, en 2014, et, donc, dans le schéma de blanchiment d’argent reproché par l’Etat requérant. Ce même schéma implique, en outre, une société enregistrée au nom du recourant, sur le compte de laquelle auraient transité, le 12 novembre 2014, des montants à hauteur d’USD 12 millions (v. supra Faits, let. A et consid. 4.3).</w:t>
      </w:r>
    </w:p>
    <w:p>
      <w:r>
        <w:rPr>
          <w:b/>
        </w:rPr>
        <w:t>E. 5.3</w:t>
      </w:r>
    </w:p>
    <w:p>
      <w:r>
        <w:t>Partant, il existe un lien de connexité suffisant entre les informations à transmettre et l’état de fait de l’enquête pénale portugaise pour admettre la transmission de la documentation bancaire relative au compte du recourant près la banque L., telle que répertoriée dans le dispositif du prononcé querellé. Le principe de l’utilité potentielle permet à l’autorité requise d’aller au-delà de la demande afin, notamment, d’éviter le dépôt de nouvelles requêtes,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(v. supra consid. 5.1.2). Il n’appartient ni à l’autorité d’exécution ni à l’autorité de recours de se substituer à l’autorité requérante dans l’appréciation de leur utilité effective pour l’enquête étrangère.</w:t>
      </w:r>
    </w:p>
    <w:p>
      <w:r>
        <w:rPr>
          <w:b/>
        </w:rPr>
        <w:t>E. 5.4</w:t>
      </w:r>
    </w:p>
    <w:p>
      <w:r>
        <w:t>Le grief est infondé.</w:t>
      </w:r>
    </w:p>
    <w:p>
      <w:r>
        <w:t>6. Au vu de ce qui précède, le recours est rejeté.</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w:t>
      </w:r>
    </w:p>
    <w:p>
      <w:r>
        <w:t>- 16 -</w:t>
      </w:r>
    </w:p>
    <w:p>
      <w:r>
        <w:rPr>
          <w:b/>
        </w:rPr>
        <w:t>E. 6</w:t>
      </w:r>
    </w:p>
    <w:p>
      <w:r>
        <w:t>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w:t>
      </w:r>
    </w:p>
    <w:p>
      <w:r>
        <w:t>- 11 -</w:t>
      </w:r>
    </w:p>
    <w:p>
      <w:r>
        <w:t>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4.2</w:t>
      </w:r>
    </w:p>
    <w:p>
      <w:r>
        <w:t>4.2.1 Selon l’art. 305bis ch. 1 CP (blanchiment d’argent), celui qui aura commis un acte propre à entraver l’identification de l’origine, la découverte ou la confiscation de valeurs patrimoniales dont il savait ou devait présumer qu’elles provenaient d’un crime (art. 10 al. 2 CP) ou d’un délit fiscal qualifié, sera puni d’une peine privative de liberté de trois ans au plus ou d’une peine pécuniaire. 4.2.2 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 6 février 2004 consid. 5.3; TPF 2011 194 consid. 2.1 in fine; v. ég. ZIMMERMANN, op. cit., n. 602). Envers les Etats cocontractants de la CBI ou de l’UNCAC (v. supra consid. 1.2),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 4.3 En l’espèce, les autorités portugaises reprochent à C., ainsi, notamment, qu’à G., d’avoir mis en place un schéma de corruption et de blanchiment des produits de la corruption. Les nombreuses sociétés offshores – créées dans le but de recevoir des montants corruptifs – ont été constituées via une société fiduciaire suisse et des comptes ouverts à leurs noms, auprès de la banque E., le tout, sous les ordres de C. Ces comptes ont été alimentés entre 2009 et 2012. En 2013, suite aux explications requises par le régulateur financier concerné s’agissant, notamment, de l’identification des</w:t>
      </w:r>
    </w:p>
    <w:p>
      <w:r>
        <w:t>- 12 -</w:t>
      </w:r>
    </w:p>
    <w:p>
      <w:r>
        <w:t>clients (KYC; know your customer) et de l’origine des fonds (SOW; source of wealth), les comptes près la banque E. auraient été clos et les fonds transférés près d’autres banques, dans un premier temps en Suisse et au Portugal, puis vers la banque I., à Macao, où les rétributions auraient continué d’être versées, jusqu’au premier trimestre 2014. L’une de ces sociétés offshores, J. Ltd, aurait servi les intérêts du Ministre […] vénézuélien, également président de l’une des entités publiques vénézuéliennes concernées à l’époque des faits, et avait été enregistrée, au Panama, en 2009, au nom de l’épouse de son ancien vice-ministre. Cette société aurait ainsi reçu des rétributions à hauteur de EUR 47'831'557.--. EUR 20'660'480.--, en sept transferts, sur le compte ouvert à son nom auprès de la banque E., puis, cinq autres, totalisant EUR 27'171'076.--, sur le compte de la société M., à la banque I., suite à la clôture du compte près la banque E. Les fonds de la société J. Ltd près la banque E. ont, suites aux contrôles effectués, été transférés, en 2013, dans un premier temps, près la banque H., au Portugal, puis, quelques mois plus tard, vers les comptes de N. et de la société M., près la banque I. Le 12 novembre 2014, USD 12 millions ont été transférés du compte de la société M. sur une relation ouverte au nom de la société O., près la banque I. En juillet 2015, deux transferts d’EUR 11'200'848.-- et USD 6'416'601.--, ont été transférés du compte N. vers un compte P., près la banque I. (act. 1, 2, 1.3 et 1.4; v. supra Faits, let. A). 4.4 À l’aune du principe de la double incrimination, l'utilisation de nombreuses sociétés et de nombreux comptes en banque, répartis dans plusieurs pays, l’importance des sommes entrant en ligne de compte, l'existence de transactions dénuées de justification apparente, constituent des indices suffisants, permettant objectivement de soupçonner des actes blanchiment d’argent (art. 305bis CP; v. supra consid. 4.2.1). Dès lors que la réunion des éléments constitutifs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 v. supra consid. 4.1). 4.5 Cela étant, il convient de relever que les délits d’octroi ou d’acceptation d’un avantage (art. 322quinquies et 322sexies CP), seuls entrant en ligne de compte, selon le recourant, suffisent, sous l’angle de la double incrimination, à l’octroi de l’entraide.</w:t>
      </w:r>
    </w:p>
    <w:p>
      <w:r>
        <w:t>4.6 Quant à la question de la prescription de l’action pénale, en droit suisse, selon la jurisprudence constante, elle n’a pas à être examinée lorsque la demande d’entraide émane, comme en l’espèce, d’un Etat partie à la CEEJ</w:t>
      </w:r>
    </w:p>
    <w:p>
      <w:r>
        <w:t>- 13 -</w:t>
      </w:r>
    </w:p>
    <w:p>
      <w:r>
        <w:t>(ATF 117 Ib 53 consid. 2). La CEEJ, qui prévaut sur l'art. 5 al. 1 let. c EIMP, ne contient pas de dispositions qui excluent l'entraide en raison de la prescription de l’action ou de la peine. Selon la Haute Cour fédérale, il s'agit d'un silence qualifié et non d'une lacune à combler par voie d'interprétation (ATF 117 Ib 53 consid. 2; ZIMMERMANN, op. cit., n. 670). Le motif d'irrecevabilité tiré de la prescription s'applique sans réserve uniquement à l'égard des Etats qui, contrairement à l'Etat requérant, ne sont pas liés avec la Suisse par un traité d'entraide judiciaire (ATF 136 IV 4 consid. 6.3 p. 11; arrêt du Tribunal fédéral 1C_152/2018 du 18 juin 2018 consid. 2.1).</w:t>
      </w:r>
    </w:p>
    <w:p>
      <w:r>
        <w:t>4.7 Le grief est mal fondé.</w:t>
      </w:r>
    </w:p>
    <w:p>
      <w:r>
        <w:t>5. Le recourant se prévaut d’une violation du principe de proportionnalité. Il reproche à la décision querellée de transmettre à l’Etat requérant plus que ce qu’il demande, soit l’entier de la documentation bancaire, comprenant, notamment, les transactions inférieures à EUR 10'000.-- (act. 1, p. 20 ss).</w:t>
      </w:r>
    </w:p>
    <w:p>
      <w:r>
        <w:rPr>
          <w:b/>
        </w:rPr>
        <w:t>E. 9</w:t>
      </w:r>
    </w:p>
    <w:p>
      <w:r>
        <w:t>mai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