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RR.2023.154 vom 29. August 2024</w:t>
      </w:r>
    </w:p>
    <w:p>
      <w:r>
        <w:t>Bundesstrafgericht, 2024-08-29, FR</w:t>
      </w:r>
    </w:p>
    <w:p>
      <w:r>
        <w:rPr>
          <w:b/>
        </w:rPr>
        <w:t xml:space="preserve">Quelle: </w:t>
      </w:r>
      <w:r>
        <w:t>https://mcp.opencaselaw.ch/entscheid/bstger_RR.2023.154</w:t>
      </w:r>
    </w:p>
    <w:p>
      <w:r>
        <w:t>FR: TPF RR.2023.154 du 29 août 2024</w:t>
      </w:r>
    </w:p>
    <w:p>
      <w:r>
        <w:t>IT: TPF RR.2023.154 del 29 agosto 2024</w:t>
      </w:r>
    </w:p>
    <w:p>
      <w:pPr>
        <w:pStyle w:val="Heading2"/>
      </w:pPr>
      <w:r>
        <w:t>Regeste</w:t>
      </w:r>
    </w:p>
    <w:p>
      <w:r>
        <w:t>Entraide judiciaire internationale en matière pénale à la Moldavie; remise de moyens de preuve (art. 74 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1.2.1</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 procédure est régie par la loi fédérale sur la procédure administrative du 20 décembre 1968 ([PA; RS 172.021]; art. 12 al. 1 EIMP, art. 39 al. 2 let. b en lien avec l'art. 37 al. 2 let. a ch. 1 LOAP).</w:t>
      </w:r>
    </w:p>
    <w:p>
      <w:r>
        <w:rPr>
          <w:b/>
        </w:rPr>
        <w:t>E. 1.2.2</w:t>
      </w:r>
    </w:p>
    <w:p>
      <w:r>
        <w:t>En l’occurrence, le recours est dirigé contre la décision de clôture du 30 août 2023 et, conjointement, contre la décision d’entrée en matière du 14 mai 2020 et l’ordonnance d’exécution datée du même jour, en tant que décisions incidentes antérieures à la décision de clôture.</w:t>
      </w:r>
    </w:p>
    <w:p>
      <w:r>
        <w:t>- 5 -</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(ATF 137 IV 134 consid. 5; 130 Il 162 consid. 1.1; 118 lb 547 consid. 1d).</w:t>
      </w:r>
    </w:p>
    <w:p>
      <w:r>
        <w:rPr>
          <w:b/>
        </w:rPr>
        <w:t>E. 1.3.2</w:t>
      </w:r>
    </w:p>
    <w:p>
      <w:r>
        <w:t>En l’espèce, titulaire de la relation bancaire dont le MPC ordonne la transmission de la documentation à l'Etat requérant, la recourante dispose de la qualité pour recourir contre la décision de clôture du 30 août 2023 ainsi que contre la décision d’entrée en matière du 14 mai 2020 et l’ordonnance d’exécution y relative datée du même jour, en tant que décisions incidentes antérieures à la clôture.</w:t>
      </w:r>
    </w:p>
    <w:p>
      <w:r>
        <w:rPr>
          <w:b/>
        </w:rPr>
        <w:t>E. 1.4</w:t>
      </w:r>
    </w:p>
    <w:p>
      <w:r>
        <w:t>Formé dans les 30 jours à compter de la notification de la décision de clôture entreprise, le recours a été déposé en temps utile (art. 80k EIMP).</w:t>
      </w:r>
    </w:p>
    <w:p>
      <w:r>
        <w:rPr>
          <w:b/>
        </w:rPr>
        <w:t>E. 1.5</w:t>
      </w:r>
    </w:p>
    <w:p>
      <w:r>
        <w:t>Compte tenu de ce qui précède, le recours est recevable et il y a lieu d'entrer en matière.</w:t>
      </w:r>
    </w:p>
    <w:p>
      <w:r>
        <w:rPr>
          <w:b/>
        </w:rPr>
        <w:t>E. 2</w:t>
      </w:r>
    </w:p>
    <w:p>
      <w:r>
        <w:t>Dans un premier moyen, la recourante soutient que les demandes d’entraide seraient irrecevables en raison d’une violation des art. 14 CEEJ et 28 EIMP en lien avec les conditions de validité desdites demandes. Ces dernières seraient entachées d’irrégularités manifestes. D’abord, les six demandes auraient dû être traitées dans des procédures séparées, avec des décisions d’entrée en matière distinctes, et non dans une procédure unique. En effet, les différentes demandes d’entraide auraient été formées par deux autorités différentes, porteraient sur des objets différents et s’inséreraient dans le cadre de procédures pénales différentes. Ensuite, la recourante relève que les autorités moldaves auraient énoncé une transaction qui n’existerait pas. L’état de fait présenté dans les demandes d’entraide serait par ailleurs confus et les périodes délictuelles, de même que les infractions reprochées, seraient variables d’une demande à l’autre. Enfin, la recourante estime qu’un parallèle devrait être tiré entre la présente procédure et l’affaire Yukos, une procédure d’entraide judiciaire avec la Russie jugée par le Tribunal fédéral dans l’arrêt 1A.215/2005 du 4 janvier 2006 (act. 1, p. 30 ss).</w:t>
      </w:r>
    </w:p>
    <w:p>
      <w:r>
        <w:t>- 6 -</w:t>
      </w:r>
    </w:p>
    <w:p>
      <w:r>
        <w:rPr>
          <w:b/>
        </w:rPr>
        <w:t>E. 2.1.1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 par l'art. 10 al. 2 OEIMP, pose des exigences similaires.</w:t>
      </w:r>
    </w:p>
    <w:p>
      <w:r>
        <w:rPr>
          <w:b/>
        </w:rPr>
        <w:t>E. 2.1.2</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La coopération judiciaire internationale en matière pénale, 5e éd. 2019, n° 293),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2.2</w:t>
      </w:r>
    </w:p>
    <w:p>
      <w:r>
        <w:t>En l’espèce, il ressort de la demande d’entraide initiale, datée du 24 février 2020, que le mari de la recourante, B.,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 bancaires concédés par trois banques moldaves en faveur de sociétés gérées par E. Dans sa commission rogatoire, l’autorité requérante met en évidence certains versements liés aux fonds d’origine potentiellement illicites obtenus par la recourante. Elle indique en effet que selon les informations obtenues le 12 novembre 2019 de l’unité d’information financière suisse, des transactions suspectes ont été identifiées, notamment en rapport avec la recourante et C. SA, société suisse dont elle est l’ayant droit économique. En particulier, en date du 27 novembre 2012, un versement de USD 26'500'000.-- serait intervenu sur une relation bancaire au nom de B. de la part de F. B.V., société qui aurait reçu des fonds soupçonnés être issus de la fraude. Le même jour, B. aurait transféré cette somme sur la relation bancaire objet de la décision querellée, détenue par la recourante. Dite somme aurait servi à l’acquisition d’une propriété immobilière à Z., dans le canton de Genève, au travers de la société C. SA, par le biais de deux versements effectués le 28 novembre 2012, de respectivement CHF 1'035'000.-- et CHF 25'200'000.-- (dossier du MPC, rubrique 1, pièce 1).</w:t>
      </w:r>
    </w:p>
    <w:p>
      <w:r>
        <w:rPr>
          <w:b/>
        </w:rPr>
        <w:t>E. 2.3</w:t>
      </w:r>
    </w:p>
    <w:p>
      <w:r>
        <w:t>Force est de retenir que l’autorité requérante a exposé à satisfaction les soupçons fondant ses investigations. Elle a indiqué, dans sa demande initiale, les faits qui sont reprochés à B.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B. et la recourante et quant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w:t>
      </w:r>
    </w:p>
    <w:p>
      <w:r>
        <w:t>- 8 -</w:t>
      </w:r>
    </w:p>
    <w:p>
      <w:r>
        <w:t>de faits,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 Contrairement à ce que soutient la recourante, il ne s’agit pas de contradictions dans la mesure où les différences relevées ne sont pas des erreurs mais trouvent leur fondement dans les constatations qui précèdent. Aussi, le fait pour le MPC d’avoir, par souci d’exhaustivité, d’économie et d’unité de procédure, traité les différentes demandes d’entraide dans le cadre d’une même procédure ne prête nullement le flanc à la critique dans la mesure où elles concernent toutes le même complexe de faits. A cet égard, peu importe que deux autorités nationales différentes aient formulé les demandes d’entraide. Ce qui compte, du point de vue suisse, est qu’il s’agisse d’autorités pénales, ce qui est le cas en l’espèce. La recourante a, en outre, pu prendre connaissance de toutes les commissions rogatoires, de sorte qu’elle n’est pas lésée par la manière de procéder du MPC – elle ne le prétend au demeurant pas dans son recours.</w:t>
      </w:r>
    </w:p>
    <w:p>
      <w:r>
        <w:t>S’agissant du fait que l’autorité requérante mentionnerait dans sa commission rogatoire une transaction qui n’existerait pas, on relèvera que c’est précisément en obtenant l’entraide des autorités suisses que le Parquet de Moldavie pourra vérifier ses soupçons. Il ne s’agit pas d’une erreur évidente qui devrait justifier le refus de l’entraide.</w:t>
      </w:r>
    </w:p>
    <w:p>
      <w:r>
        <w:t>Enfin, contrairement à ce que soutient la recourante, aucun parallèle ne peut être tiré entre l’affaire Yukos et la présente procédure. Dans l’affaire Yukos, le contexte avait été qualifié de «tout à fait particulier» par le Tribunal fédéral (arrêt 1A.215/2005 du 4 janvier 2006 consid. 3.2) et ce dernier a tranché un cas n’ayant aucune portée de règle générale. En l’occurrence, force est de constater que la procédure pénale moldave à l’origine des demandes d’entraide ne présente pas les mêmes caractéristiques que l’affaire Yukos. La procédure moldave a trait à des infractions patrimoniales de droit commun et la recourante ne soutient pas que l’enquête étrangère viserait, de façon détournée, la répression d’infractions fiscales ou d’oligarques comme cela avait été le cas dans l’affaire Yukos. Le grief tiré de la violation des art. 14 CEEJ et 28 EIMP est par conséquent rejeté.</w:t>
      </w:r>
    </w:p>
    <w:p>
      <w:r>
        <w:t>- 9 -</w:t>
      </w:r>
    </w:p>
    <w:p>
      <w:r>
        <w:t>3. La recourante invoque ensuite une violation des art. 2 EIMP et 6 CEDH. Elle prétend avoir subi de graves violations des garanties élémentaires de l’Etat de droit dans la procédure moldave et soutient que la commission de telles violations au sein du pouvoir judiciaire moldave serait notoire (act. 1, p. 37 ss).</w:t>
      </w:r>
    </w:p>
    <w:p>
      <w:r>
        <w:t>3.1</w:t>
      </w:r>
    </w:p>
    <w:p>
      <w:r>
        <w:t>3.1.1 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t>3.1.2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Lorsque l'Etat requérant est lié à la Suisse par un traité prévoyant l'entraide et qu'il est aussi partie au Pacte ONU II, comme c’est le cas pour la Moldavie (traité entré en vigueur le 26 avril 1993 pour la Moldavie et le 18 septembre 1992 pour la Suisse),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w:t>
      </w:r>
    </w:p>
    <w:p>
      <w:r>
        <w:rPr>
          <w:b/>
        </w:rPr>
        <w:t>E. 6</w:t>
      </w:r>
    </w:p>
    <w:p>
      <w:r>
        <w:t>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w:t>
      </w:r>
    </w:p>
    <w:p>
      <w:r>
        <w:t>- 7 -</w:t>
      </w:r>
    </w:p>
    <w:p>
      <w:r>
        <w:t>consid. 2.1; arrêts du Tribunal pénal fédéral RR.2017.147 du 5 octobre 2017 consid. 3.1.1; RR.2014.75-76 du 5 septembre 2014 consid. 5.2).</w:t>
      </w:r>
    </w:p>
    <w:p>
      <w:r>
        <w:rPr>
          <w:b/>
        </w:rPr>
        <w:t>E. 7</w:t>
      </w:r>
    </w:p>
    <w:p>
      <w:r>
        <w:t>Au vu de ce qui précède, le recours, mal fondé, doit être rejeté dans la mesure de sa recevabilité.</w:t>
      </w:r>
    </w:p>
    <w:p>
      <w:r>
        <w:rPr>
          <w:b/>
        </w:rPr>
        <w:t>E. 8.1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8.2</w:t>
      </w:r>
    </w:p>
    <w:p>
      <w:r>
        <w:t>En tant que partie qui succombe à la présente procédure, la recourante supportera les frais du présent arrêt, ascendant à CHF 5’000.--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