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RR.2023.151 vom 28. August 2024</w:t>
      </w:r>
    </w:p>
    <w:p>
      <w:r>
        <w:t>Bundesstrafgericht, 2024-08-28, FR</w:t>
      </w:r>
    </w:p>
    <w:p>
      <w:r>
        <w:rPr>
          <w:b/>
        </w:rPr>
        <w:t xml:space="preserve">Quelle: </w:t>
      </w:r>
      <w:r>
        <w:t>https://mcp.opencaselaw.ch/entscheid/bstger_RR.2023.151</w:t>
      </w:r>
    </w:p>
    <w:p>
      <w:r>
        <w:t>FR: TPF RR.2023.151 du 28 août 2024</w:t>
      </w:r>
    </w:p>
    <w:p>
      <w:r>
        <w:t>IT: TPF RR.2023.151 del 28 agosto 2024</w:t>
      </w:r>
    </w:p>
    <w:p>
      <w:pPr>
        <w:pStyle w:val="Heading2"/>
      </w:pPr>
      <w:r>
        <w:t>Regeste</w:t>
      </w:r>
    </w:p>
    <w:p>
      <w:r>
        <w:t>Entraide judiciaire internationale en matière pénale à la Moldavie; remise de moyens de preuve (art. 74 EIMP)</w:t>
      </w:r>
    </w:p>
    <w:p>
      <w:pPr>
        <w:pStyle w:val="Heading2"/>
      </w:pPr>
      <w:r>
        <w:t>Erwägungen</w:t>
      </w:r>
    </w:p>
    <w:p>
      <w:r>
        <w:rPr>
          <w:b/>
        </w:rPr>
        <w:t>E. 1.1</w:t>
      </w:r>
    </w:p>
    <w:p>
      <w:r>
        <w:t>L'entraide judiciaire entre la Moldavie et la Confédération suisse est prioritairement régie par la Convention européenne d'entraide judiciaire en matière pénale (CEEJ; RS 0.351.1), entrée en vigueur pour la Suisse le 20 mars 1967 et pour la Moldavie le 5 mai 1998, ainsi que par le Deuxième Protocole additionnel à la Convention (RS 0.351.12), entré en vigueur pour la Suisse le 1er février 2005 et pour la Moldavie le 1er décembre 2013. S'agissant d'une demande d'entraide présentée notamment pour la répression du blanchiment d'argent, entrent également en considération la Convention relative au blanchiment, au dépistage, à la saisie et à la confiscation des produits du crime (CBI; RS 0.311.53), entrée en vigueur le 1er septembre 1993 pour la Suisse et le 1er septembre 2002 pour la Moldavie et la Convention des Nations Unies contre la corruption du 31 octobre 2003 (UNCAC; RS 0.311.56), entrée en vigueur pour la Suisse le 24 octobre 2009 et pour la Moldavie le 31 octobre 2007, en particulier, s'agissant du blanchiment d'argent (indépendamment de la nature du crime préalable), les art. 43 ss, en particulier l'art. 46, par renvoi des art. 14 et 23. Le droit interne pertinent, soit en l'occurrence la loi fédérale sur l'entraide internationale en matière pénale (EIMP; RS 351.1) et son ordonnance d'exécution (OEIMP; RS 351.11), reste applicable aux questions qui ne sont réglées ni explicitement, ni implicitement par les traités, ou lorsqu'il est plus favorable à l'entraide, sous réserve du respect des droits fondamentaux (ATF 142 IV 250 consid. 3; 140 IV 123 consid. 2; 135 IV 121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 La</w:t>
      </w:r>
    </w:p>
    <w:p>
      <w:r>
        <w:t>- 5 -</w:t>
      </w:r>
    </w:p>
    <w:p>
      <w:r>
        <w:t>procédure est régie par la loi fédérale sur la procédure administrative du 20 décembre 1968 ([PA; RS 172.021]; art. 12 al. 1 EIMP, art. 39 al. 2 let. b en lien avec l'art. 37 al. 2 let. a ch. 1 LOAP).</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l'Etat requérant d'informations relatives à son compte (ATF 137 IV 134 consid. 5; 130 Il 162 consid. 1.1; 118 lb 547 consid. 1d).</w:t>
      </w:r>
    </w:p>
    <w:p>
      <w:r>
        <w:rPr>
          <w:b/>
        </w:rPr>
        <w:t>E. 1.3.2</w:t>
      </w:r>
    </w:p>
    <w:p>
      <w:r>
        <w:t>En l’occurrence, en tant que titulaire de la relation bancaire dont le MPC ordonne la transmission de la documentation à l'Etat requérant, la recourante dispose de la qualité pour recourir contre la décision de clôture rendue la concernant.</w:t>
      </w:r>
    </w:p>
    <w:p>
      <w:r>
        <w:rPr>
          <w:b/>
        </w:rPr>
        <w:t>E. 1.4</w:t>
      </w:r>
    </w:p>
    <w:p>
      <w:r>
        <w:t>Formé dans les 30 jours à compter de la notification de la décision de clôture entreprises, le recours a été déposé en temps utile (art. 80k EIMP).</w:t>
      </w:r>
    </w:p>
    <w:p>
      <w:r>
        <w:rPr>
          <w:b/>
        </w:rPr>
        <w:t>E. 1.5</w:t>
      </w:r>
    </w:p>
    <w:p>
      <w:r>
        <w:t>Compte tenu de ce qui précède, le recours est recevable et il y a lieu d'entrer en matière.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PA, applicable à la présente cause par renvoi des art. 12 al. 1 EIMP et 39 al. 2 let. c LOAP, l'institution de la jonction des causes est néanmoins admise en pratique (arrêts du Tribunal pénal fédéral RR.2008.190 du 26 février 2009 consid. 1; RR.2008.216+RR.2008.225-230 du 20 novembre 2008 consid. 1.2).</w:t>
      </w:r>
    </w:p>
    <w:p>
      <w:r>
        <w:rPr>
          <w:b/>
        </w:rPr>
        <w:t>E. 2.2</w:t>
      </w:r>
    </w:p>
    <w:p>
      <w:r>
        <w:t>En l’espèce, la recourante a formé son recours conjointement avec F. B.V. et G. Ltd. Si les trois sociétés sont représentées par le même avocat et ont chacune reçu une décision de clôture dans le cadre de la même procédure</w:t>
      </w:r>
    </w:p>
    <w:p>
      <w:r>
        <w:t>- 6 -</w:t>
      </w:r>
    </w:p>
    <w:p>
      <w:r>
        <w:t>d’entraide, il n’en demeure pas moins qu’il s’agit de décisions distinctes qui répondent à une argumentation différente, notamment sous l’angle du principe de proportionnalité. Dans ce contexte, une jonction des recours n’apparaît pas justifiée et l’économie de procédure commande de les traiter séparément.</w:t>
      </w:r>
    </w:p>
    <w:p>
      <w:r>
        <w:rPr>
          <w:b/>
        </w:rPr>
        <w:t>E. 2.3</w:t>
      </w:r>
    </w:p>
    <w:p>
      <w:r>
        <w:t>Par conséquent, les procédures RR.2023.151, RR.2023.152 et RR.2023.153 sont disjointes.</w:t>
      </w:r>
    </w:p>
    <w:p>
      <w:r>
        <w:rPr>
          <w:b/>
        </w:rPr>
        <w:t>E. 3</w:t>
      </w:r>
    </w:p>
    <w:p>
      <w:r>
        <w:t>Dans un grief qu’il convient d’examiner en premier compte tenu de sa nature formelle, la recourante se prévaut, dans sa réplique, d’une violation de son droit d’être entendu au motif que l’OFJ, le DFAE et le MPC ne développeraient pas, preuves à l’appui, les raisons qui les auraient amenés à dénier le caractère éminemment politique de la procédure pénale dirigée contre lui en Moldavie et, par voie de conséquence, à écarter l’application de l’art. 2 EIMP. Dans ces circonstances, elle se trouverait dans l’incapacité de se déterminer sur des éléments décisifs pour le sort de sa cause et requiert la production de l’intégralité des échanges de correspondances, rapports, recherches dans les médias et autres vérifications qui leur ont permis de statuer sur l’absence de motivations politiques de la procédure moldave (act. 12, p. 5 s.).</w:t>
      </w:r>
    </w:p>
    <w:p>
      <w:r>
        <w:rPr>
          <w:b/>
        </w:rPr>
        <w:t>E. 3.1</w:t>
      </w:r>
    </w:p>
    <w:p>
      <w:r>
        <w:t>A titre liminaire, il convient de souligner que 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Bundesgesetz über das Verwaltungsverfahren. Kommentar, 2e éd. 2019, p. 487 s.; WALDMANN/BICKEL, in Waldmann/Weissenberger [édit.], VwVG: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RP.2015.40 du 10 septembre 2015 consid. 3.2 et les références citées).</w:t>
      </w:r>
    </w:p>
    <w:p>
      <w:r>
        <w:t>- 7 -</w:t>
      </w:r>
    </w:p>
    <w:p>
      <w:r>
        <w:rPr>
          <w:b/>
        </w:rPr>
        <w:t>E. 3.2</w:t>
      </w:r>
    </w:p>
    <w:p>
      <w:r>
        <w:t>La Cour constate que le grief tiré de la violation du droit d’être entendu, soulevé pour la première fois au stade de la réplique, est tardif puisqu’il aurait déjà pu être présenté dans le mémoire de recours. En effet, dans la décision entreprise, le MPC indique que la demande d’entraide et ses compléments ne sont pas politiquement motivés, conformément aux vérifications effectuées par l’OFJ et le DFAE (act. 1.1, p. 8). Si la recourante entendait faire valoir une violation de son droit d’être entendu faute de motivation à ce propos, elle devait développer son argumentation y relative dans le délai de 30 jours qui lui était imparti pour recourir. En conséquence, le grief tiré de la violation du droit d’être entendu est irrecevable, tout comme la requête de production de documents de la part de l’OFJ et du DFAE.</w:t>
      </w:r>
    </w:p>
    <w:p>
      <w:r>
        <w:rPr>
          <w:b/>
        </w:rPr>
        <w:t>E. 4</w:t>
      </w:r>
    </w:p>
    <w:p>
      <w:r>
        <w:t>Dans son mémoire, la recourante fait valoir une violation des art. 2 et 3 EIMP pris conjointement. Dans la mesure où il s’agit de deux motifs d’irrecevabilité différents de la demande d’entraide, répondant à des conditions propres, il y a lieu de les examiner séparément.</w:t>
      </w:r>
    </w:p>
    <w:p>
      <w:r>
        <w:rPr>
          <w:b/>
        </w:rPr>
        <w:t>E. 5</w:t>
      </w:r>
    </w:p>
    <w:p>
      <w:r>
        <w:t>Au chapitre de la violation de l’art. 2 EIMP, la recourante fait grief à l’OFJ d’avoir écarté le caractère éminemment politique de la présente procédure d’entraide. Elle explique que B. est […] du parti H., dont l’agenda politique avait consisté dans le rapprochement entre la Moldavie, les Etats-Unis et l’Union européenne, au détriment de la Russie. Les enquêtes pénales ouvertes à son encontre en Moldavie seraient guidées par les motivations politiques de […] I. d’abord, puis de […] J. Dans ce contexte, les principes élémentaires de l’Etat de droit seraient bafoués (act. 1, p. 7 ss).</w:t>
      </w:r>
    </w:p>
    <w:p>
      <w:r>
        <w:rPr>
          <w:b/>
        </w:rPr>
        <w:t>E. 5.1</w:t>
      </w:r>
    </w:p>
    <w:p>
      <w:r>
        <w:t>A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w:t>
      </w:r>
    </w:p>
    <w:p>
      <w:r>
        <w:rPr>
          <w:b/>
        </w:rPr>
        <w:t>E. 5.1.1</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w:t>
      </w:r>
    </w:p>
    <w:p>
      <w:r>
        <w:t>- 8 -</w:t>
      </w:r>
    </w:p>
    <w:p>
      <w:r>
        <w:t>consid. 6.3.2).</w:t>
      </w:r>
    </w:p>
    <w:p>
      <w:r>
        <w:rPr>
          <w:b/>
        </w:rPr>
        <w:t>E. 5.1.2</w:t>
      </w:r>
    </w:p>
    <w:p>
      <w:r>
        <w:t>Pour invoquer l'art. 2 EIMP, il faut démontrer être menacé dans les droits que cette disposition protège. Ainsi, lorsque l'Etat requérant demande l'entraide judiciaire et notamment la remise de documents bancaires, peut invoquer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RR.2013.77 du 29 mai 2013 consid. 3.1). Les personnes morales n'ont pas, en principe, qualité pour se prévaloir de violations de l'art. 2 EIMP (ATF 130 II 217 précité; 126 II 258 consid. 2.d/aa; arrêt du Tribunal fédéral 1A.29/2007 consid. 2.1 et les références citées; arrêt du Tribunal pénal fédéral RR.2012.5 du 2 août 2012 consid. 5.2 et les références citées).</w:t>
      </w:r>
    </w:p>
    <w:p>
      <w:r>
        <w:rPr>
          <w:b/>
        </w:rPr>
        <w:t>E. 5.2</w:t>
      </w:r>
    </w:p>
    <w:p>
      <w:r>
        <w:t>En l’espèce, la recourante argumente la violation de l’art. 2 EIMP du point de vue du prévenu B. Elle perd toutefois de vue qu’une éventuelle violation de cette disposition doit être appréciée uniquement en ce qui la concerne. Or, en tant que personne morale, qui plus est n’ayant pas son siège en Moldavie et n’étant pas prévenue dans la procédure pénale à l’origine de la demande d’entraide, elle n’est pas légitimée à se prévaloir des garanties découlant de l’art. 2 EIMP. Le grief est par conséquent rejeté.</w:t>
      </w:r>
    </w:p>
    <w:p>
      <w:r>
        <w:rPr>
          <w:b/>
        </w:rPr>
        <w:t>E. 6</w:t>
      </w:r>
    </w:p>
    <w:p>
      <w:r>
        <w:t>La recourante se prévaut également d’une violation de l’art. 3 al. 1 EIMP, au motif que les infractions qui sont reprochées à B. auraient un caractère politique prépondérant (act. 1, p. 14).</w:t>
      </w:r>
    </w:p>
    <w:p>
      <w:r>
        <w:rPr>
          <w:b/>
        </w:rPr>
        <w:t>E. 6.1.1</w:t>
      </w:r>
    </w:p>
    <w:p>
      <w:r>
        <w:t>Aux termes de l’art. 3 al. 1 EIMP, la demande d’entraide est irrecevable si la procédure vise un acte qui, selon les conceptions suisses, revêt un caractère politique prépondérant, constitue une violation des obligations militaires ou d’obligations similaires, ou paraît dirigée contre la défense nationale ou la puissance défensive de l’Etat requérant. Seule la personne poursuivie dans l’Etat requérant peut se prévaloir de l’exception du délit politique (ZIMMERMANN, op. cit., n° 617).</w:t>
      </w:r>
    </w:p>
    <w:p>
      <w:r>
        <w:rPr>
          <w:b/>
        </w:rPr>
        <w:t>E. 6.1.2</w:t>
      </w:r>
    </w:p>
    <w:p>
      <w:r>
        <w:t>Par délit politique absolu, qui ne donne jamais lieu à la coopération, on entend celui qui est dirigé exclusivement contre l'organisation politique et sociale de l'Etat requérant, lorsque ce but est un élément constitutif du délit. Ces deux conditions sont cumulatives. Appartiennent à cette catégorie notamment les actions de subversion de l'Etat, l'insurrection, la sédition, le coup d'Etat, la haute trahison et l'espionnage (ZIMMERMANN, op. cit., n° 618</w:t>
      </w:r>
    </w:p>
    <w:p>
      <w:r>
        <w:t>- 9 -</w:t>
      </w:r>
    </w:p>
    <w:p>
      <w:r>
        <w:t>et les références citées). Le délit politique relatif est une infraction qui ressortit ordinairement au droit commun mais ne donne pas lieu à la coopération parce que l’acte revêt un caractère politique prépondérant; celui- ci dépend de la nature des circonstances, des mobiles et des buts qui ont déterminé l’auteur à agir et apparaissent prédominants aux yeux de l’Etat requis. Le délit politique relatif, inspiré par la passion politique, doit toujours avoir été commis dans le cadre d’une lutte pour ou contre le pouvoir et se situer en rapport de connexité étroit et direct, clair et net, avec l’objet de cette lutte (ZIMMERMANN, op. cit., n° 618 s. et les références citées).</w:t>
      </w:r>
    </w:p>
    <w:p>
      <w:r>
        <w:rPr>
          <w:b/>
        </w:rPr>
        <w:t>E. 6.2</w:t>
      </w:r>
    </w:p>
    <w:p>
      <w:r>
        <w:t>En l’espèce, non seulement on peine à comprendre en quoi les infractions reprochées à B. qui sont de nature patrimoniale, revêtiraient un quelconque caractère politique prépondérant – la recourante ne l’explique pas dans son recours –, mais surtout, cette dernière n’est pas prévenue dans la procédure moldave, de sorte qu’elle n’est, en tout état, pas admise à se prévaloir de l’exception de l’art. 3 EIMP. Le grief est dès lors rejeté.</w:t>
      </w:r>
    </w:p>
    <w:p>
      <w:r>
        <w:rPr>
          <w:b/>
        </w:rPr>
        <w:t>E. 7</w:t>
      </w:r>
    </w:p>
    <w:p>
      <w:r>
        <w:t>La recourante invoque ensuite une violation des art. 24 CEEJ et 28 EIMP en lien avec les conditions de validité des demandes d’entraide. Elle expose que ces dernières seraient entachées d’irrégularités manifestes. D’abord, elles se référeraient à des périodes délictuelles variables, la demande initiale portant sur une période délictuelle de 2013 à 2015, tandis que dans les demandes subséquentes, il serait fait mention d’une période délictuelle allant de 2009 à 2019. De plus, aucune infraction concrète ne serait reprochée à B. avant l’année 2013, le premier transfert litigieux reproché étant intervenu le 18 juin 2013. Or, tous les versements effectués sur la relation bancaire objet de la décision attaquée et représentant des montants importants seraient antérieurs à cette date. Enfin, la recourante fait valoir une incohérence entre les différentes demandes en ce qui concerne les actes qui sont reprochés à B. (act. 1, p. 5 ss).</w:t>
      </w:r>
    </w:p>
    <w:p>
      <w:r>
        <w:rPr>
          <w:b/>
        </w:rPr>
        <w:t>E. 7.1.1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129 II 97 consid. 3; 118 Ib 111 consid. 5b et les arrêts cités; TPF 2015 110 consid. 5.2.1). L'art. 28 al. 2 EIMP, complété</w:t>
      </w:r>
    </w:p>
    <w:p>
      <w:r>
        <w:t>- 10 -</w:t>
      </w:r>
    </w:p>
    <w:p>
      <w:r>
        <w:t>par l'art. 10 al. 2 OEIMP, pose des exigences similaires.</w:t>
      </w:r>
    </w:p>
    <w:p>
      <w:r>
        <w:rPr>
          <w:b/>
        </w:rPr>
        <w:t>E. 7.1.2</w:t>
      </w:r>
    </w:p>
    <w:p>
      <w:r>
        <w:t>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 il convient effectivement de garder à l'esprit que la démarche de l'autorité étrangère vise à compléter, par les renseignements requis, les investigations en cours (ZIMMERMANN, op. cit., n° 293),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142 IV 250 consid. 6; 136 IV 4 consid. 4.1; 133 IV 76 consid. 2.2; 126 II 495 consid. 5e/aa; 118 Ib 111 consid. 5b; TPF 2011 194 consid. 2.1; arrêts du Tribunal pénal fédéral RR.2017.147 du 5 octobre 2017 consid. 3.1.1; RR.2014.75-76 du 5 septembre 2014 consid. 5.2).</w:t>
      </w:r>
    </w:p>
    <w:p>
      <w:r>
        <w:rPr>
          <w:b/>
        </w:rPr>
        <w:t>E. 7.2</w:t>
      </w:r>
    </w:p>
    <w:p>
      <w:r>
        <w:t>En l’espèce, il ressort de la demande d’entraide initiale, datée du 24 février 2020, que B. est poursuivi en Moldavie pour blanchiment d’argent; il aurait, entre 2013 et 2015, de concert avec des personnes non encore identifiées, mis sur pied un plan pour convertir, transférer, acquérir, détenir et utiliser des fonds dont il savait qu’ils étaient d’origine illicite, aux fins de cacher leur provenance. A cet effet, il aurait constitué plusieurs sociétés pour organiser, à travers elles, le circuit des fonds dans des proportions particulièrement élevées. Les fonds auraient été obtenus par le biais de fraudes et de crédits bancaires concédés par trois banques moldaves en faveur de sociétés</w:t>
      </w:r>
    </w:p>
    <w:p>
      <w:r>
        <w:t>- 11 -</w:t>
      </w:r>
    </w:p>
    <w:p>
      <w:r>
        <w:t>gérées par K. Dans sa commission rogatoire, l’autorité requérante met en évidence certains versements liés aux fonds d’origine potentiellement illicites obtenus par B. directement, par le biais de sociétés qui lui sont liées, ou par le biais de son épouse C. Aussi, elle indique que selon les informations obtenues le 12 novembre 2019 de l’unité d’information financière suisse, des transactions suspectes ont été identifiées notamment en rapport avec lui, C., F. B.V., société offshore ayant son siège à Amsterdam et dont l’ayant droit économique est B. et D. SA, société suisse dont l’ayant droit économique est C. En particulier, en date du 27 novembre 2012, un versement de USD 26'500'000.-- est intervenu sur la relation objet de la décision de clôture querellée de la part de F. B.V., qui aurait reçu des fonds soupçonnés être issus de la fraude. Le même jour, B. aurait transféré cette somme sur une relation bancaire détenue par son épouse. Dite somme aurait servi à l’acquisition d’une propriété immobilière à Z., dans le canton de Genève, au travers de la société D. SA, par le biais de deux versements effectués le 28 novembre 2012, de respectivement CHF 1'035'000.-- et CHF 25'200'000.--.</w:t>
      </w:r>
    </w:p>
    <w:p>
      <w:r>
        <w:rPr>
          <w:b/>
        </w:rPr>
        <w:t>E. 7.3</w:t>
      </w:r>
    </w:p>
    <w:p>
      <w:r>
        <w:t>Force est de retenir que l’autorité requérante a exposé à satisfaction les soupçons fondant ses investigations. Elle a indiqué, dans sa demande initiale, les faits qui sont reprochés à B. et qui fondent sa demande de documentation bancaire et elle a décrit les transactions impliquant des fonds d’origine potentiellement illicite qu’elle a identifiées. Les demandes d’entraide subséquentes ont eu pour but de requérir d’autres actes d’enquête de la part des autorités helvétiques ou de préciser les reproches formulés, notamment quant aux liens matrimoniaux et patrimoniaux existant entre B. et C. et quant aux transactions identifiées comme suspectes. Dans ce contexte, en fonction de l’état de fait décrit dans les demandes d’entraide (à l’appui duquel les moyens de preuve ont été requis) et de l’avancée de l’enquête, la qualification juridique retenue a évolué. On relèvera aussi que les différentes commissions rogatoires formulées regroupent en réalité deux procédures nationales pour le même complexe de fait, l’une étant menée par le Ministère public anticorruption de la République de Moldavie (demandes d’entraide des 24 février 2020, 21 juillet 2020, 15 octobre 2020, 26 février 2021 et 28 février 2022) et l’autre par le Bureau du procureur pour la lutte contre le crime organisé et les affaires spéciales (demande d’entraide du 29 septembre 2020). Ceci explique également qu’il y ait des qualifications juridiques et des périodes délictuelles différentes qui ont été retenues dans les différentes demandes d’entraide. Le Ministère public anticorruption de la République de Moldavie enquête en effet sur la période de 2013 à 2015, alors que le Bureau du procureur pour la lutte contre le crime organisé et les affaires spéciales s’intéresse à une période plus large allant de 2009 à 2019. Contrairement à ce que prétend la recourante, il ne s’agit pas de</w:t>
      </w:r>
    </w:p>
    <w:p>
      <w:r>
        <w:t>- 12 -</w:t>
      </w:r>
    </w:p>
    <w:p>
      <w:r>
        <w:t>contradictions dans la mesure où les différences relevées ne sont pas des erreurs mais trouvent leur fondement dans les constatations qui précèdent. Aussi, le fait pour le MPC d’avoir, par souci d’exhaustivité, d’économie et d’unité de procédure, traité les différentes demandes d’entraide dans le cadre d’une même procédure ne prête nullement le flanc à la critique dans la mesure où elles concernent toutes le même complexe de faits. La recourante a pu prendre connaissance de toutes les commissions rogatoires, de sorte qu’elle n’est pas lésée par la manière de procéder du MPC – elle ne le prétend au demeurant pas dans son recours. S’agissant enfin de l’argument quant à l’absence de lien entre les premiers actes illicites reprochés à B. et la documentation bancaire à remettre à l’autorité requérante, celui-ci sera abordé ci-après dans le cadre de l’examen relatif au principe de proportionnalité (cf. infra consid. 8). Le grief est par conséquent rejeté.</w:t>
      </w:r>
    </w:p>
    <w:p>
      <w:r>
        <w:rPr>
          <w:b/>
        </w:rPr>
        <w:t>E. 8</w:t>
      </w:r>
    </w:p>
    <w:p>
      <w:r>
        <w:t>Dans un dernier moyen, la recourante se plaint d'une violation du principe de la proportionnalité. Les premiers transferts litigieux reprochés à B. auraient été opérés durant la période allant du 18 juin 2013 au 13 février 2014. Or, tous les versements de sommes importantes sur la relation bancaire appartenant à la recourante et objet de la décision de clôture querellée seraient intervenus antérieurement à la période susmentionnée, de sorte qu’ils seraient sans rapport avec les faits sous enquête en Moldavie. De plus, l’autorité requérante n’aurait jamais demandé la documentation bancaire relative à la relation bancaire ouverte au nom de la recourante auprès de la banque E. de sorte que la décision attaquée excède le cadre posé par la demande d’entraide. Enfin, contrairement à ce que voudrait démontrer l’autorité requérante, il n’existerait aucun lien entre la recourante et l’acquisition du bien immobilier de D. SA (act, 1, p. 14 ss).</w:t>
      </w:r>
    </w:p>
    <w:p>
      <w:r>
        <w:rPr>
          <w:b/>
        </w:rPr>
        <w:t>E. 8.1.1</w:t>
      </w:r>
    </w:p>
    <w:p>
      <w:r>
        <w:t>Conformément au principe de la proportionnalité, qui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w:t>
      </w:r>
    </w:p>
    <w:p>
      <w:r>
        <w:t>- 13 -</w:t>
      </w:r>
    </w:p>
    <w:p>
      <w:r>
        <w:t>Tribunal fédéral 1C_582/2015 du 10 novembre 2015 consid. 1.4).</w:t>
      </w:r>
    </w:p>
    <w:p>
      <w:r>
        <w:rPr>
          <w:b/>
        </w:rPr>
        <w:t>E. 8.1.2</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w:t>
      </w:r>
    </w:p>
    <w:p>
      <w:r>
        <w:rPr>
          <w:b/>
        </w:rPr>
        <w:t>E. 8.1.3</w:t>
      </w:r>
    </w:p>
    <w:p>
      <w:r>
        <w:t>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w:t>
      </w:r>
    </w:p>
    <w:p>
      <w:r>
        <w:t>- 14 -</w:t>
      </w:r>
    </w:p>
    <w:p>
      <w:r>
        <w:t>pénal fédéral RR.2019.172+173 du 28 janvier 2020 consid. 3.1 et les références citées; ZIMMERMANN, op. cit., n. 723, p. 798 ss).</w:t>
      </w:r>
    </w:p>
    <w:p>
      <w:r>
        <w:rPr>
          <w:b/>
        </w:rPr>
        <w:t>E. 8.1.4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8.2</w:t>
      </w:r>
    </w:p>
    <w:p>
      <w:r>
        <w:t>En l’espèce, la demande d’entraide datée du 24 février 2020 porte, de manière expresse, sur la transmission de la documentation bancaire relative aux comptes de B., de son épouse, de F. BV et de D. SA auprès de la banque E. depuis 2010. La Cour rappelle qu’à teneur de cette commission rogatoire, les autorités pénales moldaves soupçonnent B. d’avoir participé, entre 2013 et 2015, à une fraude d’envergure et d’avoir blanchi subséquemment une partie des fonds qui en sont issus. A la lecture de la documentation bancaire à transmettre, il apparaît que la recourante est un trust irrévocable et discrétionnaire, dont le settlor est B. et la première bénéficiaire est C. En prenant connaissance des relevés bancaires, de l’ouverture du compte le 5 février 2013 à sa clôture le 17 avril 2014, on constate que très peu de transactions ont été effectuées et que les seules transactions significatives sont des transactions «back-to-back», la recourante n’étant qu’un intermédiaire pour recevoir des fonds et les transférer ensuite immédiatement à un autre bénéficiaire. En particulier, le 7 mars 2013, la relation litigieuse a reçu un montant de USD 2'120'000.-- de la part de F. B.V. et a versé, le même jour, USD 2'100'047,54 à L. Ltd. Aussi, le 12 avril 2013, la relation a reçu USD 1'438'450.-- de la part de F. B.V. et a transféré, le même jour, USD 1'338'498,43 à L. Ltd et USD 100'048,43 à M. Ltd, ayant droit économique de la recourante. Or, l’autorité requérante soupçonne L. Ltd d’avoir été précisément créée pour organiser le circuit des fonds</w:t>
      </w:r>
    </w:p>
    <w:p>
      <w:r>
        <w:t>- 15 -</w:t>
      </w:r>
    </w:p>
    <w:p>
      <w:r>
        <w:t>blanchis. F. B.V. est également suspectée d’avoir reçu des fonds issus de la fraude objet de son enquête. Il lui sera dès lors indéniablement utile de connaître ces transferts d’argent, intervenus durant la période d’activité criminelle reprochée à B. afin de suivre le cheminement des fonds, de déterminer s’ils sont d’origine illicite et de vérifier si d’autres transactions pourraient l’intéresser. Pour que l’information soit la plus exhaustive possible, il se justifie de remettre à l’autorité requérante l’intégralité des relevés bancaires, de l’ouverture de la relation à sa fermeture. Par conséquent, même si la documentation bancaire litigieuse n’a pas été expressément demandée par l’autorité requérante, elle présente une utilité potentielle pour cette dernière. Il s’ensuit que le grief tiré de la violation du principe de la proportionnalité doit être rejeté.</w:t>
      </w:r>
    </w:p>
    <w:p>
      <w:r>
        <w:rPr>
          <w:b/>
        </w:rPr>
        <w:t>E. 9</w:t>
      </w:r>
    </w:p>
    <w:p>
      <w:r>
        <w:t>Au vu de ce qui précède, le recours, mal fondé, doit être rejeté dans la mesure de sa recevabilité.</w:t>
      </w:r>
    </w:p>
    <w:p>
      <w:r>
        <w:rPr>
          <w:b/>
        </w:rPr>
        <w:t>E. 10.1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10.2</w:t>
      </w:r>
    </w:p>
    <w:p>
      <w:r>
        <w:t>En tant que partie qui succombe à la présente procédure, la recourante supportera les frais du présent arrêt, ascendant à CHF 4’000.--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