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 vom 5. Juli 2023</w:t>
      </w:r>
    </w:p>
    <w:p>
      <w:r>
        <w:t>Bundesstrafgericht, 2023-07-05, IT</w:t>
      </w:r>
    </w:p>
    <w:p>
      <w:r>
        <w:rPr>
          <w:b/>
        </w:rPr>
        <w:t xml:space="preserve">Quelle: </w:t>
      </w:r>
      <w:r>
        <w:t>https://mcp.opencaselaw.ch/entscheid/bstger_RR.2023.15</w:t>
      </w:r>
    </w:p>
    <w:p>
      <w:r>
        <w:t>FR: TPF RR.2023.15 du 5 juillet 2023</w:t>
      </w:r>
    </w:p>
    <w:p>
      <w:r>
        <w:t>IT: TPF RR.2023.15 del 5 luglio 2023</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(art. 48 n. 2 CAS, art. I n. 2 Accordo italo-sviz- zero).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 zera (RS 0.351.12), dall'Accordo italo-svizzero del 10 settembre 1998 che com- 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cata nella RS ma consultabile sulla piattaforma di pubblicazione Internet della Confederazione alla voce “Raccolta dei testi giuridici riguardanti gli accordi</w:t>
      </w:r>
    </w:p>
    <w:p>
      <w:r>
        <w:t>- 6 -</w:t>
      </w:r>
    </w:p>
    <w:p>
      <w:r>
        <w:t>settoriali con l’UE”, 8.1 Allegato A). Alle questioni che il prevalente diritto inter- 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(art. 80h lett. b AIMP e art. 9a lett. a OAIMP non- ché DTF 137 IV 134 consid. 5.2.1; 130 II 162 consid. 1.1; 128 II 211 consid. 2.3; TPF 2007 79 consid. 1.6 pag. 82).</w:t>
      </w:r>
    </w:p>
    <w:p>
      <w:r>
        <w:rPr>
          <w:b/>
        </w:rPr>
        <w:t>E. 2</w:t>
      </w:r>
    </w:p>
    <w:p>
      <w:r>
        <w:t>Anzitutto la Corte osserva come il trasferimento dell’indagine da Prato a Roma non abbia influsso sulla presente procedura. Non è infatti compito dello Stato richiesto verificare la competenza procedurale delle autorità di perseguimento penale in base al diritto dello Stato rogante o sindacare eventuali conflitti di competenza tra di esse (DTF 114 Ib 254 consid. 5; sentenze del Tribunale fe- derale 1A_145/2005 del 20 ottobre 2005 consid. 2.6 e 1A.218/2003 del 17 di- cembre 2003 consid. 3; ZIMMERMANN, La coopération judiciaire internationale en matière pénale, 5a ediz. 2019, n. 290 e 658). La Svizzera rifiuta di cooperare unicamente se la competenza delle autorità estere difetta in maniera chiara, a tal punto da far apparire abusiva la domanda di assistenza (DTF 122 II 134 consid. 7b; 116 Ib 89 consid. 2c/aa; 113 Ib 157 consid. 4; TPF 2013 97 consid. 5.2), circostanza che manifestamente non ricorre nel caso concreto. In assenza di un suo ritiro o della pronuncia e relativa crescita in giudicato di una sentenza</w:t>
      </w:r>
    </w:p>
    <w:p>
      <w:r>
        <w:t>- 7 -</w:t>
      </w:r>
    </w:p>
    <w:p>
      <w:r>
        <w:t>di merito, non sussistono inoltre gli estremi per ritenere che la domanda di as- sistenza giudiziaria sia nel frattempo divenuta priva di oggetto (v. sentenze del Tribunale federale 1C_79/2014 del 14 febbraio 2014 consid. 2.2; 1A.418/1996 del 12 marzo 1997 consid. 2; sentenza del Tribunale penale federale RR.2007.99 del 10 settembre 2007 consid. 5; ZIMMERMANN, op. cit., n. 305).</w:t>
      </w:r>
    </w:p>
    <w:p>
      <w:r>
        <w:rPr>
          <w:b/>
        </w:rPr>
        <w:t>E. 3</w:t>
      </w:r>
    </w:p>
    <w:p>
      <w:r>
        <w:t>La società insorgente sostiene che le informazioni richieste sarebbero prive di qualsiasi utilità per le autorità estere, atteso che il sequestro ordinato in Italia e richiamato in rogatoria avrebbe finalità di confisca per equivalente mentre che i fondi affluiti sul conto della banca D. avrebbero documentata origine lecita. A questo fine, A. SA invoca la sua estraneità ai fatti dichiarandosi terzo in buona fede e sostenendo che i valori patrimoniali giunti sulla relazione bancaria in og- getto originerebbero dal rapporto contrattuale con E. S.r.l. La liceità dei versa- menti troverebbe la sua conferma giudiziaria nel ricorso civile per decreto in- giuntivo presentato presso il Tribunale di Roma dall’insorgente e già prodotto all’attenzione del MP-TI, nonché dalla conseguente (apparente) autorizzazione allo sblocco degli averi di E. S.r.l. in favore di A. SA da parte della stessa Pro- cura di Prato. A mente dell’insorgente, poiché non vi sarebbe modo di dare se- guito ad una prevedibile futura richiesta di consegna a scopo di confisca giusta l’art. 74a AIMP, le informazioni da trasmettersi non sarebbero di nessuna utilità per lo Stato richiedente. Non per altro, dalla motivazione della rogatoria, come pure dal testo del decreto di sequestro del Giudice per le indagini preliminari e della relazione della Questura di Prato non emergerebbe alcun coinvolgimento di A. SA. Nel prosieguo del suo gravame, il patrocinatore della ricorrente invoca pure il divieto della cosiddetta fishing expedition, ossia della ricerca generale e indeterminata di mezzi di prova. L’estesa documentazione riguardante i bonifici in entrata ed in uscita messa a disposizione spontaneamente da A. SA (v. fatti, lett. D) soddisferebbe per sé stessa in modo più che ampio tutte le necessità istruttorie che sono state formulate nell’ambito della rogatoria. La trasmissione della documentazione relativa al conto corrente presso la banca D. SA risulte- rebbe invece completamente inutile, rispettivamente eccessiva, in quanto con- terrebbe la descrizione di operazioni estranee all’oggetto dell’inchiesta, vio- lando anche il divieto espresso dal principio latino “nec eat iudex ultra petita”. Non da ultimo, anche le norme costituzionali sulla protezione della sfera privata si opporrebbero alla trasmissione all’autorità rogante degli estratti conto, dai quali si evincerebbero transazioni riguardanti terze persone. A questo riguardo, A. SA chiede formalmente di applicare per analogia, a protezione delle persone fisiche e giuridiche, l’ampia giurisprudenza sviluppata dal Tribunale federale nell’ambito dell’assistenza internazionale in materia fiscale.</w:t>
      </w:r>
    </w:p>
    <w:p>
      <w:r>
        <w:rPr>
          <w:b/>
        </w:rPr>
        <w:t>E. 3.1.1</w:t>
      </w:r>
    </w:p>
    <w:p>
      <w:r>
        <w:t>Il principio della proporzionalità esige che vi sia una connessione fra la docu- mentazione richiesta e il procedimento estero (DTF 139 II 404 consid. 7.2.2;</w:t>
      </w:r>
    </w:p>
    <w:p>
      <w:r>
        <w:t>- 8 -</w:t>
      </w:r>
    </w:p>
    <w:p>
      <w:r>
        <w:t>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rPr>
          <w:b/>
        </w:rPr>
        <w:t>E. 3.1.2</w:t>
      </w:r>
    </w:p>
    <w:p>
      <w:r>
        <w:t>Quando le autorità estere chiedono informazioni per ricostruire flussi patrimo- niali di natura criminale si ritiene che necessitino di regola dell'integralità della relativa documentazione, in modo tale da chiarire quali siano le persone o entità giuridiche coinvolte (DTF 129 II 462 consid. 5.5; 124 II 180 consid. 3c inedito; 121 II 241 consid. 3b e c; sentenze del Tribunale federale 1A.177/2006 del 10 dicembre 2007 consid. 5.5; 1A.227/2006 del 22 febbraio 2007 consid. 3.2; 1A.195/2005 del 1° settembre 2005 in fine; sentenza del Tribunale penale fe- derale RR.2019.257 del 12 febbraio 2020 consid. 2.1). Lo Stato richiedente do- vrebbe in linea di principio essere informato di tutte le transazioni effettuate at- traverso i conti coinvolti, in modo da acclarare i fatti in una prospettiva sufficien- temente ampia (sentenze del Tribunale penale federale RR.2022.193 del 12 aprile 2023 consid. 4.2; RR.2022.112 del 1° settembre 2022 consid. 4.2). L'autorità richiedente ha un interesse ad essere informata di qualsiasi transa- zione che possa far parte del meccanismo delittuoso messo in atto dalle per- sone sotto inchiesta (sentenza del Tribunale penale federale RR.2014.4 del 30 luglio 2014 consid. 2.2.2). Naturalmente è anche possibile che i conti in que- stione non siano stati utilizzati per ricevere proventi di reati o per effettuare tra- sferimenti illeciti, ma l'autorità richiedente ha comunque interesse a poterlo ve- rificare essa stessa, sulla base di una documentazione completa, tenendo pre- sente che l'assistenza reciproca è finalizzata non solo alla raccolta di prove in- 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consid.</w:t>
      </w:r>
    </w:p>
    <w:p>
      <w:r>
        <w:t>- 9 -</w:t>
      </w:r>
    </w:p>
    <w:p>
      <w:r>
        <w:t>4.2), con evidente intralcio alle esigenze di celerità (v. anche art. 17a cpv. 1 AIMP).</w:t>
      </w:r>
    </w:p>
    <w:p>
      <w:r>
        <w:rPr>
          <w:b/>
        </w:rPr>
        <w:t>E. 3.1.3</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 Vietata è per contro la cosiddetta fishing expedition, la quale è definita dalla giurisprudenza una ricerca generale e indeterminata di mezzi di prova volta a fondare un sospetto senza che esistano pregressi elementi con- creti a sostegno dello stesso (DTF 137 I 218 consid. 2.3.2; 125 II 65 consid. 6b/aa pag. 73 e rinvii; TPF 2007 57 consid. 6.1). Tale divieto si fonda semplice- mente sul fatto che è inammissibile procedere a casaccio nella raccolta delle prove (DTF 113 Ib 257 consid. 5c; sentenza del Tribunale penale federale RR.2017.21 dell'8 maggio 2017 consid. 3.1).</w:t>
      </w:r>
    </w:p>
    <w:p>
      <w:r>
        <w:rPr>
          <w:b/>
        </w:rPr>
        <w:t>E. 3.1.4</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anche delle informa- zioni e dei documenti non espressamente menzionati nella domanda di assi- stenza (TPF 2009 161 consid. 5.2; sentenze del Tribunale penale federale RR.2010.39 del 28 aprile 2010 consid. 5.1, e RR.2010.8 del 16 aprile 2010 con- sid. 2.2). Incombe poi alla persona toccata dimostrare in maniera chiara e pre- cisa perché i documenti e le informazioni in questione vanno oltre il senso che si può ragionevolmente attribuire alla domanda di assistenza giudiziaria,</w:t>
      </w:r>
    </w:p>
    <w:p>
      <w:r>
        <w:t>- 10 -</w:t>
      </w:r>
    </w:p>
    <w:p>
      <w:r>
        <w:t>rispettivamente perché non presentano nessun interesse per la procedura estera (sentenza del Tribunale penale federale RR.2019.60 del 22 maggio 2019 consid. 2.1).</w:t>
      </w:r>
    </w:p>
    <w:p>
      <w:r>
        <w:rPr>
          <w:b/>
        </w:rPr>
        <w:t>E. 3.1.5</w:t>
      </w:r>
    </w:p>
    <w:p>
      <w:r>
        <w:t>Dal canto suo, l'interesse alla “privacy” delle persone toccate dalla misura non può prevalere sulle necessità di indagine e sull'obbligo della Svizzera di accor- dare l'assistenza più ampia possibile (art. 1 cpv. 1 CEAG; sentenza del Tribu- nale federale 1A.182/2006 del 9 agosto 2007 consid. 3.3). Nemmeno l’even- tuale rivelazione di segreti commerciali costituisce un impedimento assoluto all'esecuzione di misure rogatoriali e alla concessione dell’assistenza giudiziaria (v. art. 248 cpv. 1 CPP in relazione con art. 9 AIMP; KELLER, Commentario zu- righese, 3a ediz. 2020, n. 23 e seg. ad art. 248 CPP; GSTÖHL, Geheimnisschutz im Verfahren der internationalen Rechtshilfe in Strafsachen, 2008, pag. 318). Per opporsi validamente ad una richiesta estera è necessario in tal senso ren- dere verosimile il motivo per cui il segreto in questione dovrebbe prevalere sulle esigenze del procedimento penale (GLUTZ, Commentario basilese, 2015, n. 8 ad art. 9 AIMP).</w:t>
      </w:r>
    </w:p>
    <w:p>
      <w:r>
        <w:rPr>
          <w:b/>
        </w:rPr>
        <w:t>E. 3.2</w:t>
      </w:r>
    </w:p>
    <w:p>
      <w:r>
        <w:t>In concreto, dalla documentazione bancaria acquisita (v. atto 3 dell'incarto MP- TI) emerge che sulla relazione n. 2, peraltro già debitamente identificata nella domanda di assistenza giudiziaria, sono confluiti, nel periodo tra marzo e giugno 2022, oltre un centinaio di accrediti per un importo complessivo superiore a EUR 2'000'000.–. Tali fondi originavano da un conto intestato a E. S.r.l., società che, secondo quanto indicato dall’autorità rogante, era riconducibile a B. e C. Gli inquirenti sospettano che i valori patrimoniali in questione siano parte dell’in- debito profitto conseguito dagli indagati mediante la commissione dei reati loro contestati, per poi venir dirottati sul conto di A. SA (v. atto 1, pag. 11 dell'incarto MP-TI). Su questi presupposti ed indipendentemente dall’effettiva esistenza di un rapporto contrattuale con E. S.r.l., già solo per il fatto che sulla relazione siano giunti averi provenienti da almeno un conto appartenente ad una società di pertinenza delle persone indagate in Italia, non si può negare l’utilità poten- ziale delle misure di assistenza giudiziaria concesse. Per quanto riguarda in- vece gli addebiti, spicca in particolare un ordine di pagamento in favore di tale F., direttore del consorzio G. ed anch’egli oggetto di indagine in Italia. Da un punto di vista più generale, va osservato come dai documenti ottenuti dalla banca D. risultino svariate operazioni a favore di persone fisiche e giuridiche localizzate in Svizzera e in Italia, soggetti per i quali – a fronte dell’ipotesi inve- stigativa descritta nella domanda di assistenza giudiziaria e conto tenuto dell’ampiezza e dello stadio attuale dell’inchiesta estera – non possono essere esclusi punti di contatto con il procedimento penale in essere nello Stato richie- dente. Ne discende che l'utilità potenziale della documentazione litigiosa è cer- tamente data. Vista anche la natura dei reati oggetto dell’indagine italiana, da respingere è parimenti la conclusione subordinata della ricorrente tesa allo stral- cio dei nominativi che non riguardano transazioni con E. S.r.l. Anche volendo</w:t>
      </w:r>
    </w:p>
    <w:p>
      <w:r>
        <w:t>- 11 -</w:t>
      </w:r>
    </w:p>
    <w:p>
      <w:r>
        <w:t>considerare gli interessi alla protezione della sfera privata di eventuali persone non coinvolte nelle indagini, le autorità estere non possono essere private di potenziale materiale probatorio atto ad acclarare i fatti in una prospettiva suffi- cientemente ampia, ovviamente sia a carico che a discarico. L’autorità rogante deve così avere accesso a tutta la documentazione bancaria, al fine di rico- struire tutti i flussi di denaro che potrebbero essere potenzialmente legati ai reati ipotizzati, senza limitazioni che si scontrerebbero con la necessità di chiarire in tutta la loro potenziale ampiezza i risvolti delle operazioni incriminate. In questo senso, nulla può essere dedotto dalla prassi in materia di assistenza ammini- strativa.</w:t>
      </w:r>
    </w:p>
    <w:p>
      <w:r>
        <w:t>Per il resto, spetterà al giudice estero del merito chinarsi sulle contestazioni dei fatti e/o reati formulate dal ricorrente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3.3</w:t>
      </w:r>
    </w:p>
    <w:p>
      <w:r>
        <w:t>Per quanto concerne infine l’invocata estraneità ai fatti oggetto del procedi- mento italiano, l’assunto ricorsuale è privo di pertinenza in ambito di assistenza giudiziaria internazionale. L’insorgente disattende infatti che l’eventuale qualità di persona non implicata nell’inchiesta non è di per sé rilevante. Basta che sus- sista una relazione diretta e oggettiva tra la persona ed il reato per il quale si indaga e ciò senza che siano necessarie un’implicazione nell’operazione crimi- nosa e ancor meno una colpevolezza soggettiva ai sensi del diritto penale (DTF 120 Ib 251 consid. 5° e b; 118 Ib 547 consid. 3° in fine; ZIMMERMANN, op. cit., n. 404). Giova a tal proposito ricordare che l’art. 10 cpv. 1 AIMP, concernente la sfera segreta di persone non implicate nel procedimento penale, è stato abro- gato con la modifica dell’AIMP del 4 ottobre 1996. Comunque, anche secondo il vecchio diritto, i titolari di conti bancari usati, anche a loro insaputa, per ope- razioni sospette non potevano prevalersi del citato disposto (DTF 120 Ib 251 consid. 5b; 112 Ib 576 consid. 13d).</w:t>
      </w:r>
    </w:p>
    <w:p>
      <w:r>
        <w:rPr>
          <w:b/>
        </w:rPr>
        <w:t>E. 4</w:t>
      </w:r>
    </w:p>
    <w:p>
      <w:r>
        <w:t>La ricorrente censura infine la violazione del principio della doppia punibilità. Le operazioni oggetto del procedimento penale si sarebbero svolte nell’ambito di contratti di appalto di carattere privato e non pubblico. Di conseguenza, le as- serite violazioni dei requisiti contrattuali non costituirebbero comunque una vio- lazione di norme legali. Quindi verrebbe a cadere il presupposto oggettivo dei reati perseguiti attraverso il sistema della Richiesta di Offerta (R.D.O.). Per la violazione “made in Italy” ovviamente non sussisterebbe doppia punibilità e</w:t>
      </w:r>
    </w:p>
    <w:p>
      <w:r>
        <w:t>- 12 -</w:t>
      </w:r>
    </w:p>
    <w:p>
      <w:r>
        <w:t>nemmeno per le ipotesi accusatorie adombrate riguardo alle violazioni di norme giuslavoristiche.</w:t>
      </w:r>
    </w:p>
    <w:p>
      <w:r>
        <w:rPr>
          <w:b/>
        </w:rPr>
        <w:t>E. 4.1</w:t>
      </w:r>
    </w:p>
    <w:p>
      <w:r>
        <w:t>Aderendo alla CEAG, la Svizzera ha posto il principio della doppia punibilità quale condizione all'esecuzione di ogni commissione rogatoria esigente l'appli- cazione di una qualsiasi misura coercitiva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rPr>
          <w:b/>
        </w:rPr>
        <w:t>E. 4.2</w:t>
      </w:r>
    </w:p>
    <w:p>
      <w:r>
        <w:t>Sulla base di un esame prima facie, i fatti esposti nella domanda di assistenza giudiziaria proposta dalle autorità italiane possono perlomeno essere sussunti ai reati di truffa (art. 146 CP) e di falsità in documenti (art. 251 CP), reati per la cui realizzazione non v’è peraltro alcuna necessità che vi sia un legame con contratti di carattere pubblico. Poco conta, a questo riguardo, che la normativa italiana preveda specifiche infrazioni legate alla pubblica amministrazione o che la violazione del “made in Italy” non sia punibile in Svizzera: in base alla predetta giurisprudenza le misure di cooperazione sono già ammesse se la condizione della doppia punibilità è ossequiata alla luce di una singola fattispecie.</w:t>
      </w:r>
    </w:p>
    <w:p>
      <w:r>
        <w:t>Anche quest’ultima censura va dunque disattesa.</w:t>
      </w:r>
    </w:p>
    <w:p>
      <w:r>
        <w:rPr>
          <w:b/>
        </w:rPr>
        <w:t>E. 5</w:t>
      </w:r>
    </w:p>
    <w:p>
      <w:r>
        <w:t>In conclusione, il ricorso va integralmente respinto e la decisione impugnata confermata.</w:t>
      </w:r>
    </w:p>
    <w:p>
      <w:r>
        <w:t>- 13 -</w:t>
      </w:r>
    </w:p>
    <w:p>
      <w:r>
        <w:rPr>
          <w:b/>
        </w:rPr>
        <w:t>E. 6</w:t>
      </w:r>
    </w:p>
    <w:p>
      <w:r>
        <w:t>Le spese seguono la soccombenza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 Non si assegnano ripetibili.</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