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RR.2023.148 vom 26. Oktober 2023</w:t>
      </w:r>
    </w:p>
    <w:p>
      <w:r>
        <w:t>Bundesstrafgericht, 2023-10-26, DE</w:t>
      </w:r>
    </w:p>
    <w:p>
      <w:r>
        <w:rPr>
          <w:b/>
        </w:rPr>
        <w:t xml:space="preserve">Quelle: </w:t>
      </w:r>
      <w:r>
        <w:t>https://mcp.opencaselaw.ch/entscheid/bstger_RR.2023.148</w:t>
      </w:r>
    </w:p>
    <w:p>
      <w:r>
        <w:t>FR: TPF RR.2023.148 du 26 octobre 2023</w:t>
      </w:r>
    </w:p>
    <w:p>
      <w:r>
        <w:t>IT: TPF RR.2023.148 del 26 ottobre 2023</w:t>
      </w:r>
    </w:p>
    <w:p>
      <w:pPr>
        <w:pStyle w:val="Heading2"/>
      </w:pPr>
      <w:r>
        <w:t>Regeste</w:t>
      </w:r>
    </w:p>
    <w:p>
      <w:r>
        <w:t>Auslieferung an Rumänien; Auslieferungsentscheid (Art. 55 IRSG)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w:t>
      </w:r>
    </w:p>
    <w:p>
      <w:r>
        <w:t>- 3 -</w:t>
      </w:r>
    </w:p>
    <w:p>
      <w:r>
        <w:t>Überdies anwendbar ist die Verordnung (EU) 2018/1862 des Europäischen Parlaments und des Rates vom 28. November 2018 über die Einrichtung, den Betrieb und die Nutzung des Schengener Informationssystems (SIS) im Bereich der polizeilichen Zusammenarbeit und der justiziellen Zusammenar- beit in Strafsachen, zur Änderung und Aufhebung des Beschlusses 2007/533/JI des Rates und zur Aufhebung der Verordnung (EG) Nr. 1986/2006 des Europäischen Parlaments und des Rates und des Be- schlusses 2010/261/EU der Kommission, namentlich Art. 26–31 (CELEX- Nr. 32018R1862; Abl. L 312 vom 7. Dezember 2018, S. 56–106; abrufbar auf der Website der Schweizerischen Eidgenossenschaft unter «Rechts- sammlung zu den sektoriellen Abkommen mit der EU», 8.4 Weiterentwick- lungen des Schengen-Besitzstands; https://www.fedlex.admin.ch/de/sector- specific-agreements/EU-acts-register/8) i.V.m. dem Beschluss 2010/365/EU des Rates vom 29. Juni 2010 über die Anwendung der Bestimmungen des Schengen-Besitzstands über das Schengener Informationssystem in der Re- publik Bulgarien und Rumänien (ABl. L 166 vom 1. Juli 2010, S. 17–20; ab- rufbar unter «Rechtssammlung zu den sektoriellen Abkommen mit der EU», 8.4 Weiterentwicklungen des Schengen-Besitzstands).</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w:t>
      </w:r>
    </w:p>
    <w:p>
      <w:r>
        <w:t>- 4 -</w:t>
      </w:r>
    </w:p>
    <w:p>
      <w:r>
        <w:t>Beschwerde geführt werden (Art. 55 Abs. 3 i.V.m. Art. 25 Abs. 1 IRSG; Art. 50 Abs. 1 VwVG).</w:t>
      </w:r>
    </w:p>
    <w:p>
      <w:r>
        <w:t>Die vorliegende Beschwerde richtet sich gegen einen Auslieferungsent- scheid des BJ. Die Beschwerdekammer ist zu deren Behandlung zuständig. Das Vorliegen der übrigen Eintretensvoraussetzungen kann angesichts des Verfahrensausgangs offenbleiben.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Der Beschwerdeführer macht sinngemäss geltend, im Falle einer Ausliefe- rung drohe ihm eine unmenschliche oder erniedrigende Strafe oder Behand- lung.</w:t>
      </w:r>
    </w:p>
    <w:p>
      <w:r>
        <w:rPr>
          <w:b/>
        </w:rPr>
        <w:t>E. 4.2</w:t>
      </w:r>
    </w:p>
    <w:p>
      <w:r>
        <w:t>Die Schweiz prüft die Auslieferungsvoraussetzungen des EAUe auch im Lichte ihrer grundrechtlichen völkerrechtlichen Verpflichtungen. Nach Völ- kerrecht – wie auch schweizerischem Landesrecht – sind Folter und jede andere Art grausamer, unmenschlicher oder erniedrigender Behandlung oder Bestrafung verboten (Art. 3 EMRK und Art. 7 sowie Art. 10 Ziff. 1 UNO- Pakt II, Art. 10 Abs. 3 BV). Niemand darf in einen Staat ausgeliefert werden, in dem ihm Folter oder eine andere Art grausamer und unmenschlicher Be- handlung oder Bestrafung droht (Art. 25 Abs. 3 BV; BGE 134 IV 156 E. 6.3; Urteil des Bundesgerichts 1C_644/2015 vom 23. Februar 2016 E. 8.1, nicht publ. in: BGE 142 IV 175; je mit Hinweisen). Die Haftbedingungen dürfen nicht unmenschlich oder erniedrigend im Sinne von Art. 3 EMRK sein; die physische und psychische Integrität der ausgelieferten Person muss gewahrt sein (vgl. auch Art. 7, 10 und 17 des UNO-Pakts II), und die Gesundheit des Häftlings muss in angemessener Weise sichergestellt werden (vgl. zum Gan- zen: BGE 148 IV 314 E. 3 mit Hinweisen).</w:t>
      </w:r>
    </w:p>
    <w:p>
      <w:r>
        <w:rPr>
          <w:b/>
        </w:rPr>
        <w:t>E. 4.3</w:t>
      </w:r>
    </w:p>
    <w:p>
      <w:r>
        <w:t>Die verfolgte Person muss glaubhaft machen, dass sie objektiv und ernsthaft eine schwerwiegende Verletzung der Menschenrechte im ersuchenden Staat zu befürchten hat (BGE 130 II 217 E. 8). Abstrakte Behauptungen ge- nügen nicht. Der Beschwerdeführer muss seine Vorbringen im Einzelnen</w:t>
      </w:r>
    </w:p>
    <w:p>
      <w:r>
        <w:t>- 5 -</w:t>
      </w:r>
    </w:p>
    <w:p>
      <w:r>
        <w:t>präzisieren (Urteil des Bundesgerichts 1A.210/1999 vom 12. Dezember 1999 E. 8b).</w:t>
      </w:r>
    </w:p>
    <w:p>
      <w:r>
        <w:rPr>
          <w:b/>
        </w:rPr>
        <w:t>E. 4.4</w:t>
      </w:r>
    </w:p>
    <w:p>
      <w:r>
        <w:t>Der Beschwerdegegner hat im angefochtenen Auslieferungsentscheid zur Rüge des Beschwerdeführers, eine Auslieferung nach Rumänien komme aufgrund der menschenunwürdigen Bedingungen in den rumänischen Ge- fängnissen nicht in Frage und bei einer Auslieferung würde diesbezüglich eine Verletzung von Art. 3 EMRK drohen, eingehend Stellung genommen und dabei die einschlägige Rechtsprechung des Bundesstrafgerichts be- rücksichtigt (vgl. Entscheide des Bundesstrafgerichts RR.2023.31 vom</w:t>
      </w:r>
    </w:p>
    <w:p>
      <w:r>
        <w:rPr>
          <w:b/>
        </w:rPr>
        <w:t>E. 4.5</w:t>
      </w:r>
    </w:p>
    <w:p>
      <w:r>
        <w:t>Nach dem Gesagten erweist sich die Beschwerde als zum Vornherein unbe- gründet, weshalb sie ohne Schriftenwechsel abzuweisen ist (vgl. Art. 57 Abs. 1 VwVG e contrario), soweit auf sie einzutreten ist.</w:t>
      </w:r>
    </w:p>
    <w:p>
      <w:r>
        <w:t>5. Angesichts des Verfahrensausgangs muss dem Beschwerdeführer keine Nachfrist zur Verbesserung seiner Beschwerdeschrift gewährt werden, bei welcher es sich lediglich um eine Fotokopie handelt und welche keine eigen- händige Unterschrift aufweist (vgl. Art. 52 Abs. 1 und 2 VwVG).</w:t>
      </w:r>
    </w:p>
    <w:p>
      <w:r>
        <w:rPr>
          <w:b/>
        </w:rPr>
        <w:t>E. 6</w:t>
      </w:r>
    </w:p>
    <w:p>
      <w:r>
        <w:t>Bei diesem Ausgang des Verfahrens hat der Beschwerdeführer grundsätz- lich die Verfahrenskosten zu tragen (vgl. Art. 63 Abs. 1 VwVG i.V.m. Art. 39 Abs. 2 lit. b und Art. 37 Abs. 2 lit. a StBOG). Vorliegend rechtfertigt es sich, auf die Erhebung einer Gerichtsgebühr zu verzichten (Art. 39 Abs. 2 lit. b StBOG i.V.m. Art. 63 Abs. 1 Satz 3 VwVG).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