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RR.2023.144 vom 19. September 2023</w:t>
      </w:r>
    </w:p>
    <w:p>
      <w:r>
        <w:t>Bundesstrafgericht, 2023-09-19, DE</w:t>
      </w:r>
    </w:p>
    <w:p>
      <w:r>
        <w:rPr>
          <w:b/>
        </w:rPr>
        <w:t xml:space="preserve">Quelle: </w:t>
      </w:r>
      <w:r>
        <w:t>https://mcp.opencaselaw.ch/entscheid/bstger_RR.2023.144</w:t>
      </w:r>
    </w:p>
    <w:p>
      <w:r>
        <w:t>FR: TPF RR.2023.144 du 19 septembre 2023</w:t>
      </w:r>
    </w:p>
    <w:p>
      <w:r>
        <w:t>IT: TPF RR.2023.144 del 19 settembre 2023</w:t>
      </w:r>
    </w:p>
    <w:p>
      <w:pPr>
        <w:pStyle w:val="Heading2"/>
      </w:pPr>
      <w:r>
        <w:t>Regeste</w:t>
      </w:r>
    </w:p>
    <w:p>
      <w:r>
        <w:t>Auslieferung an Rumänien; Auslieferungsentscheid (Art. 55 IRSG); Nachtragsersuchen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August 2023 zugestellt wurde (act. 6.1);</w:t>
      </w:r>
    </w:p>
    <w:p>
      <w:r>
        <w:t>- die Beschwerdefrist damit am 1. September 2023 ablief;</w:t>
      </w:r>
    </w:p>
    <w:p>
      <w:r>
        <w:t>- die Absender der E-Mails am 28. August 2023 vom Bundesstrafgericht per E-Mail über die Formerfordernisse einer Beschwerde informiert wurden;</w:t>
      </w:r>
    </w:p>
    <w:p>
      <w:r>
        <w:t>- bis heute keine formgültigen Eingaben in der Sache eingingen;</w:t>
      </w:r>
    </w:p>
    <w:p>
      <w:r>
        <w:t>- die Ansetzung einer Nachfrist zur Verbesserung nicht in Betracht kommt (vgl. BGE 142 V 152 E. 4.5);</w:t>
      </w:r>
    </w:p>
    <w:p>
      <w:r>
        <w:t>- nach dem Gesagten auf die Beschwerde wegen Formungültigkeit nicht ein- zutreten ist;</w:t>
      </w:r>
    </w:p>
    <w:p>
      <w:r>
        <w:t>- die Beschwerde im Übrigen aus nachfolgenden Gründen abzuweisen wäre;</w:t>
      </w:r>
    </w:p>
    <w:p>
      <w:r>
        <w:t>- der Beschwerdeführer sinngemäss beantragt, der Auslieferungsentscheid sei aufzuheben und die Auslieferung abzulehnen, weil die Vollstreckung des ausländischen Strafentscheids von der Schweiz zu übernehmen sei;</w:t>
      </w:r>
    </w:p>
    <w:p>
      <w:r>
        <w:t>- gemäss Art. 37 Abs. 1 IRSG die Auslieferung abgelehnt werden kann, wenn die Schweiz die Verfolgung der Tat oder die Vollstreckung des</w:t>
      </w:r>
    </w:p>
    <w:p>
      <w:r>
        <w:t>- 5 -</w:t>
      </w:r>
    </w:p>
    <w:p>
      <w:r>
        <w:t>ausländischen Strafentscheides übernehmen kann und dies im Hinblick auf die soziale Wiedereingliederung des Verfolgten angezeigt erscheint;</w:t>
      </w:r>
    </w:p>
    <w:p>
      <w:r>
        <w:t>- das EAUe kein entsprechendes Auslieferungshindernis vorsieht; nach dem Günstigkeitsprinzip Art. 37 Abs. 1 IRSG einer nach dem EAUe zulässigen Auslieferung nicht entgegengehalten werden kann (BGE 129 II 100 E. 3.1 mit Hinweisen; vgl. GARRÉ, Basler Kommentar, 2015, Art. 37 IRSG N. 2);</w:t>
      </w:r>
    </w:p>
    <w:p>
      <w:r>
        <w:t>- die Vollstreckung von Strafentscheiden eines anderen Staates im Übrigen ein ausdrückliches Ersuchen des betreffenden Staates voraussetzt (vgl. Art. 94 Abs. 1 IRSG; BGE 120 Ib 120 E. 3c; GARRÉ, a.a.O., Art. 37 IRSG N. 2); der Beschwerdegegner im angefochtenen Auslieferungsentscheid festhielt, dass Rumänien ein Auslieferungs- und nicht ein Strafvollstre- ckungsbegehren stelle, was vom Beschwerdeführer nicht bestritten wird;</w:t>
      </w:r>
    </w:p>
    <w:p>
      <w:r>
        <w:t>- lediglich in Ausnahmefällen der grundrechtliche Schutz des Familienlebens (Art. 8 EMRK, Art. 13 Abs. 1 BV) sogar ohne förmliches Ersuchen um Straf- übernahme (und auch im Auslieferungsverkehr mit Vertragsstaaten des EAUe) die Abweisung des Auslieferungsersuchens und die stellvertretende Strafvollstreckung in der Schweiz gebieten kann (BGE 129 II 100 E. 3.5; Ur- teil des Bundesgerichts 1C_420/2022 vom 29. Juli 2022 E. 2.3; TPF 2020 81 E. 2.3.1; vgl. zuletzt u.a. Entscheid des Bundesstrafgerichts RR.2023.53 vom 31. Mai 2023 E. 6.2.2);</w:t>
      </w:r>
    </w:p>
    <w:p>
      <w:r>
        <w:t>- ein solcher Ausnahmefall weder vom Beschwerdeführer geltend gemacht wird noch ersichtlich ist;</w:t>
      </w:r>
    </w:p>
    <w:p>
      <w:r>
        <w:t>- sich die Beschwerde als unbegründet erweist;</w:t>
      </w:r>
    </w:p>
    <w:p>
      <w:r>
        <w:t>- der Beschwerdeführer bei diesem Ausgang des Verfahrens grundsätzlich die Verfahrenskosten zu tragen hat (vgl. Art. 63 Abs. 1 VwVG i.V.m. Art. 39 Abs. 2 lit. b und Art. 37 Abs. 2 lit. a StBOG); es sich vorliegend rechtfertigt, auf die Erhebung einer Gerichtsgebühr zu verzichten (Art. 39 Abs. 2 lit. b StBOG i.V.m. Art. 63 Abs. 1 Satz 3 VwVG);</w:t>
      </w:r>
    </w:p>
    <w:p>
      <w:r>
        <w:t>- den vorliegenden Akten kein Zustellungsdomizil des Beschwerdeführers ent- nommen werden kann;</w:t>
      </w:r>
    </w:p>
    <w:p>
      <w:r>
        <w:t>- der Beschwerdegegner zu ersuchen ist, den vorliegenden Entscheid dem Beschwerdeführer auf dieselbe Weise wie den angefochtenen Ausliefe- rungsentscheid zuzustellen und der Beschwerdekammer eine vom Be- schwerdeführer ausgefüllte Empfangsbestätigung einzureichen;</w:t>
      </w:r>
    </w:p>
    <w:p>
      <w:r>
        <w:t>- 6 -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