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RR.2023.142 vom 4. Oktober 2023</w:t>
      </w:r>
    </w:p>
    <w:p>
      <w:r>
        <w:t>Bundesstrafgericht, 2023-10-04, DE</w:t>
      </w:r>
    </w:p>
    <w:p>
      <w:r>
        <w:rPr>
          <w:b/>
        </w:rPr>
        <w:t xml:space="preserve">Quelle: </w:t>
      </w:r>
      <w:r>
        <w:t>https://mcp.opencaselaw.ch/entscheid/bstger_RR.2023.142</w:t>
      </w:r>
    </w:p>
    <w:p>
      <w:r>
        <w:t>FR: TPF RR.2023.142 du 4 octobre 2023</w:t>
      </w:r>
    </w:p>
    <w:p>
      <w:r>
        <w:t>IT: TPF RR.2023.142 del 4 ottobre 2023</w:t>
      </w:r>
    </w:p>
    <w:p>
      <w:pPr>
        <w:pStyle w:val="Heading2"/>
      </w:pPr>
      <w:r>
        <w:t>Regeste</w:t>
      </w:r>
    </w:p>
    <w:p>
      <w:r>
        <w:t>Auslieferung an Rumänien; Auslieferungsentscheid (Art. 55 IRSG); unentgeltliche Rechtspflege (Art. 65 Abs. 1 und 2 VwVG)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w:t>
      </w:r>
    </w:p>
    <w:p>
      <w:r>
        <w:t>Überdies anwendbar ist die Verordnung (EU) 2018/1862 des Europäischen Parlaments und des Rates vom 28. November 2018 über die Einrichtung, den Betrieb und die Nutzung des Schengener Informationssystems (SIS) im Bereich der polizeilichen Zusammenarbeit und der justiziellen Zusammenar- beit in Strafsachen, zur Änderung und Aufhebung des Beschlusses 2007/533/JI des Rates und zur Aufhebung der Verordnung (EG) Nr. 1986/2006 des Europäischen Parlaments und des Rates und des Be- schlusses 2010/261/EU der Kommission, namentlich Art. 26–31 (CELEX- Nr. 32018R1862; Abl. L 312 vom 7. Dezember 2018, S. 56–106; abrufbar unter «Rechtssammlung zu den sektoriellen Abkommen mit der EU», 8.4 Weiterentwicklungen des Schengen-Besitzstands) i.V.m. dem Beschluss</w:t>
      </w:r>
    </w:p>
    <w:p>
      <w:r>
        <w:t>- 7 -</w:t>
      </w:r>
    </w:p>
    <w:p>
      <w:r>
        <w:t>2010/365/EU des Rates vom 29. Juni 2010 über die Anwendung der Best- immungen des Schengen-Besitzstands über das Schengener Informations- system in der Republik Bulgarien und Rumänien (ABl. L 166 vom 1. Juli 2010, S. 17–20).</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7. August 2023 ist dem Beschwerdeführer am 8. August 2023 zugestellt worden (act. 7.23), womit die vorliegende Be- schwerde fristgerecht erhoben worden ist. Der Beschwerdeführer ist als Ad- ressat des Auslieferungsentscheids ohne Weiteres zu dessen Anfechtung legitimiert.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w:t>
      </w:r>
    </w:p>
    <w:p>
      <w:r>
        <w:t>- 8 -</w:t>
      </w:r>
    </w:p>
    <w:p>
      <w:r>
        <w:t>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Der Beschwerdeführer rügt zunächst, die Auslieferungsunterlagen würden aus einem Ort stammen, wo er niemals gewesen sei. Die Daten in den Aus- lieferungsunterlagen seien sodann falsch (act. 1 S. 1). Er bringt weiter vor, er sei für Delikte verurteilt worden, die er nicht begangen habe (act. 1). In diesem Zusammenhang macht sein Rechtsvertreter geltend, der Beschwer- deführer habe anlässlich seiner Einvernahme vom 22. Juni 2022 dargetan, dass er auf seinem Handy bzw. in der Cloud Fotos habe, die dartun würden, dass er zur fraglichen Tatzeit gar nicht am Tatort gewesen sei, sondern sich in einer anderen Stadt aufgehalten habe. Trotz der offensichtlichen Beweis- liquidität habe es das BJ unterlassen, die gebotenen Abklärungen zu tätigen (act. 1 S. 7). Der Beschwerdeführer wendet auch ein, der Sachverhalt sei widersprüchlich, so werde einmal vorgebracht, er habe das Opfer geschla- gen und ausgeraubt, ein anderes Mal soll B. das Opfer geschlagen und aus- geraubt haben (act. 1 S. 2). Sein Rechtsvertreter zweifelt sodann daran, dass die richtige Person festgenommen wurde und zur Auslieferung gebracht wer- den soll (act. 1 S. 7). Weiter ergänzt der Rechtsvertreter des Beschwerdeführers, das rumänische Justizministerium halte in seinem Schreiben vom 7. Juni 2023 fest, der Be- schwerdeführer sei mit Strafurteil Nr. 17 vom 7. Januar 2022 durch das Amts- gericht Craiova zu einer Freiheitsstrafe von 3 Jahren und 661 Tagen verur- teilt worden und dieses Urteil sei mit Strafbeschluss des Berufungshofes Bu- karest Nr. 848/A vom 16. Juli 2022 in Rechtskraft erwachsen. Der Rechts- vertreter kritisiert, diese Entscheide seien dem Auslieferungsersuchen nicht beigelegt. Der Strafbeschluss Nr. 848/A des Berufungshofes Burkarest da- tiere vom 17. Juni 2022 und nicht vom 16. Juli 2022, was offensichtlich kein Redaktionsfehler sein könne, da weder das Datum noch der Monat zutreffe. Der Rechtsvertreter rügt, die Vorinstanz gehe ohne weitere Überprüfung</w:t>
      </w:r>
    </w:p>
    <w:p>
      <w:r>
        <w:t>- 9 -</w:t>
      </w:r>
    </w:p>
    <w:p>
      <w:r>
        <w:t>davon aus, dass es sich lediglich um einen Redaktionsfehler handle. Dem dürfe aber nicht gefolgt werden, da nicht ausgeschlossen werden könne, dass am 16. Juli 2022 ein weiteres, anderslautendes Urteil erfolgt sei, das dem ersten Urteil widerspreche. Jedenfalls sei das Auslieferungsersuchen offensichtlich widersprüchlich (act. 5 S. 4).</w:t>
      </w:r>
    </w:p>
    <w:p>
      <w:r>
        <w:rPr>
          <w:b/>
        </w:rPr>
        <w:t>E. 4.2</w:t>
      </w:r>
    </w:p>
    <w:p>
      <w:r>
        <w:t>Das Auslieferungsersuchen hat gemäss Art. 28 Abs. 3 lit. a IRSG bzw. Art. 12 Ziff. 2 lit. b EAUe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 haltsdarstellung im Ersuchen gebunden, soweit sie nicht durch offensichtli- che Fehler, Lücken oder Widersprüche sofort entkräftet wird (vgl. BGE 132 II 81 E. 2.1; Urteile des Bundesgerichts 1A.163/2006 vom 23. Januar 2007 E. 3.2 f.; 1A.189/2006 vom 7. Februar 2007 E. 2.6; 1A.125/2006 vom 10. Au- gust 2006 E. 2.1, je m.w.H.).</w:t>
      </w:r>
    </w:p>
    <w:p>
      <w:r>
        <w:rPr>
          <w:b/>
        </w:rPr>
        <w:t>E. 4.3</w:t>
      </w:r>
    </w:p>
    <w:p>
      <w:r>
        <w:t>Dem Auslieferungsersuchen ist gemäss Art. 12 Ziff. 2 lit. a EAUe eine Ur- schrift oder eine beglaubigte Abschrift eines vollstreckbaren verurteilenden Erkenntnisses, eines Haftbefehls oder jeder anderen, nach den Formvor- schriften des ersuchenden Staates ausgestellte Urkunde mit gleicher Rechtswirkung beizufügen.</w:t>
      </w:r>
    </w:p>
    <w:p>
      <w:r>
        <w:rPr>
          <w:b/>
        </w:rPr>
        <w:t>E. 4.4</w:t>
      </w:r>
    </w:p>
    <w:p>
      <w:r>
        <w:t>Vorliegend bestehen keine Zweifel, für welche Straftaten die rumänischen Behörden die Auslieferung des Beschwerdeführers verlangen. Die Ausliefe- rung wird im Hinblick auf die Vollstreckung einer Freiheitsstrafe von 3 Jahren und 661 Tagen wegen schweren Raubes aus dem Strafurteil Nr. 96 des Amtsgerichts des Bezirks 3 Bukarest vom 16. Februar 2022, bestätigt mit Urteil Nr. 848 des Berufungsgerichts von Bukarest vom 17. Juni 2022, bean- tragt. Dem Auslieferungsersuchen sind das Strafurteil Nr. 96 des Amtsge- richts des Bezirks 3 Bukarest vom 16. Februar 2022 und das Urteil Nr. 848</w:t>
      </w:r>
    </w:p>
    <w:p>
      <w:r>
        <w:t>- 10 -</w:t>
      </w:r>
    </w:p>
    <w:p>
      <w:r>
        <w:t>des Berufungsgerichts von Bukarest vom 17. Juni 2022 beigefügt. Ebenso liegt den Auslieferungsunterlagen der Befehl Nr. 183/22 des Amtsgerichts des Bezirks 3 Bukarest, Strafvollzugsamt, vom 17. Juni 2022 betreffend die Vollstreckung der Freiheitsstrafe aus dem Strafurteil Nr. 96 des Amtsgerichts des Bezirks 3 Bukarest vom 16. Februar 2022, rechtskräftig mit dem Straf- beschluss Nr. 848/A des Berufungsgerichts Bukarest vom 17. Juni 2022, bei (act. 7.12.b). Genau diese vorgenannten Strafurteile wurden sowohl in der Ausschreibung im SIS (act. 7.1 S. 2; s. supra lit. A) als auch in den Vollstre- ckungsbefehlen des rumänischen Gerichts sowie im Schreiben des rumäni- schen Justizministeriums vom 7. Juni 2023 (act. 7.12.b) aufgeführt. Entge- gen der Argumentation des Beschwerdeführers und seines Rechtsvertreters hat sich die ersuchende Behörde in ihrem Schreiben vom 7. Juni 2023 bei der Wiedergabe der Strafurteile lediglich einmal einleitend verschrieben und den Auslieferungssachverhalt in einem Punkt nicht präzise wiedergegeben (s. supra lit. F), was auch dem BJ im Auslieferungsentscheid widerfahren ist (s. supra lit. J). Von einem offensichtlich widersprüchlichen Auslieferungser- suchen kann keine Rede sein. Das rumänische Auslieferungsersuchen er- füllt ohne weiteres die formellen Voraussetzungen von Art. 12 Ziff. 2 lit. a EAUe. Dass der Beschwerdeführer mit der im Rechtshilfeersuchen bzw. in den rumänischen Strafurteilen erwähnten Person identisch ist, hat der Be- schwerdeführer selber von Beginn weg bejaht (act. 7.3 S. 2). Es liegen ent- gegen der Darstellung des Rechtsvertreters des Beschwerdeführers keine Anhaltspunkte vor, welche berechtigte Zweifel daran begründen würden.</w:t>
      </w:r>
    </w:p>
    <w:p>
      <w:r>
        <w:t>Mit den vorgenannten Strafurteilen wurde der Beschwerdeführer (zusammen mit B. und C.) des schweren Raubes zum Nachteil von E. schuldig gespro- chen, weil er am 7. Dezember 2019 gegen ca. 01:00 Uhr im Klub D. in Z. (Rumänien) E. am Hals festgehalten und ihn ins Kinn geschlagen hatte, wäh- rend B. E. wiederholt mit der Faust ins Gesicht geschlagen und sich unrecht- mässig aus der Hosentasche von E. dessen Brieftasche mit Dokumenten und Schriftstücken angeeignet hatte (s. supra lit. A; act. 7.12.b). Was der Beschwerdeführer als Widerspruch bezeichnet, ist keiner. Aus dem Um- stand, dass das rumänische Justizministerium und in der Folge auch das BJ in einem Punkt den Auslieferungssachverhalt ungenau wiedergegeben und die Wegnahme der Brieftasche von E. fälschlicherweise ihm statt B. zuge- schrieben haben (s. supra lit. F und J), kann der Beschwerdeführer nichts zu seinen Gunsten ableiten. Den beigelegten Urteilen erster und zweiter Instanz sind gerade keine Widersprüche zu entnehmen (s. supra lit. A; act. 7.12.b). Weder mit seinen Bestreitungen noch mit seinem Hinweis auf Fotos auf sei- nem Handy hat der Beschwerdeführer einen Alibibeweis im Sinne von Art. 47 Abs. 1 lit. b IRSG erbracht. Im Übrigen widerspricht die Darstellung des Be- schwerdeführers, er sei zur Tatzeit nicht am Tatort gewesen, durchgehend</w:t>
      </w:r>
    </w:p>
    <w:p>
      <w:r>
        <w:t>- 11 -</w:t>
      </w:r>
    </w:p>
    <w:p>
      <w:r>
        <w:t>seinen früheren Aussagen im rumänischen Strafverfahren (act. 7.12.b; s. auch supra lit. A) und seiner ersten Befragung im Auslieferungsverfahren (act. 7.3 S. 3; s. supra lit. C). Entgegen der Argumentation des Rechtsver- treters des Beschwerdeführers ist es nach der Rechtsprechung ausserdem nicht Sache der schweizerischen Behörden, diesbezüglich Nachforschun- gen zu machen oder machen zu lassen. Wenn Zweifel nicht ausgeschlossen werden können, ist das Alibi nicht ohne Verzug im Sinne von Art. 47 Abs. 1 lit. b IRSG nachgewiesen (BGE 123 II 279 E. 2b; Urteil des Bundesgerichts 1C_301/2012 vom 14. Juni 2012 E. 1.2; ZIMMERMANN, La coopération judi- ciaire internationale en matière pénale, 5. Aufl. 2019, N. 674 f.). Soweit der Beschwerdeführer die Beweiswürdigung sowie die rechtliche Qualifikation seiner Taten durch die rumänischen Gerichte kritisiert, verkennt er ebenso, dass das Auslieferungsverfahren nicht der nachträglichen Überprüfung der Beweiswürdigung rechtskräftiger Strafurteile durch das Rechtshilfegericht dient (s. supra E. 4.2). Der Beschwerdeführer vermag nicht aufzuzeigen, dass der rechtskräftig erstellte, zweitinstanzlich bestätigte Sachverhaltsvor- wurf im Auslieferungsersuchen offensichtliche Fehler, Lücken oder Wider- sprüche enthalten würde, welche diesen sofort entkräftet würden. Solche Mängel sind auch nicht ersichtlich. Nach dem Gesagten erweist sich auch diese Rüge als unbegründet.</w:t>
      </w:r>
    </w:p>
    <w:p>
      <w:r>
        <w:rPr>
          <w:b/>
        </w:rPr>
        <w:t>E. 5.1</w:t>
      </w:r>
    </w:p>
    <w:p>
      <w:r>
        <w:t>Der Rechtsvertreter des Beschwerdeführers wendet ein, das Strafurteil Nr. 96 des Gerichtshofs des Bezirks 3 Burkarest vom 16. Februar 2022 leide an zahlreichen wesentlichen formellen und inhaltlichen Mängeln, die sich nach der schweizerischen Strafprozessordnung verbieten und letztlich auch gegen den Ordre Public verstossen würden (act. 5 S. 5).</w:t>
      </w:r>
    </w:p>
    <w:p>
      <w:r>
        <w:t>So sei der Beschwerdeführer in demselben Strafverfahren wie auch der min- derjährige B. beurteilt worden (act. 5 S. 5 f.). Gemäss Art. 11 Abs. 1 StPO (recte: JStPO) seien Verfahren gegen Erwachsene und Jugendliche getrennt zu führen und Ausnahmen seien gemäss Abs. 2 nur dann möglich, wenn die Untersuchung durch die Trennung erheblich erschwert würde. Es sei nicht ersichtlich, weshalb die Zusammenführung der Verfahren gerechtfertigt ge- wesen wäre und gerade auch unter schweizerischem Blickwinkel Ordre Public-konform gewesen sein solle. Hinzu komme, dass die Aussagen der Mitbeschuldigten offensichtlich im Rahmen eines anlässlich der Hauptver- handlung eingegangenen abgekürzten Verfahrens erfolgt seien, mit Aussicht auf eine erhebliche Strafreduktion. Diese Tatsache schmälere einerseits die Glaubwürdigkeit der Mitbeschuldigten, andererseits aber auch die Glaubhaf- tigkeit der Aussagen der Mitbeschuldigten (act. 1 S. 6).</w:t>
      </w:r>
    </w:p>
    <w:p>
      <w:r>
        <w:t>- 12 -</w:t>
      </w:r>
    </w:p>
    <w:p>
      <w:r>
        <w:rPr>
          <w:b/>
        </w:rPr>
        <w:t>E. 5.2</w:t>
      </w:r>
    </w:p>
    <w:p>
      <w:r>
        <w:t>Die Schweiz prüft die Auslieferungsvoraussetzungen des EAUe auch unter dem Blickwinkel ihrer grundrechtlichen völkerrechtlichen Verpflichtungen (vgl. Art. 2 IRSG). Einem Ersuchen um Zusammenarbeit in Strafsachen wird nicht entsprochen, wenn Gründe für die Annahme bestehen, dass das Ver- fahren im Ausland den in der EMRK oder im Internationalen Pakt vom 16. Dezember 1966 über bürgerliche und politische Rechte (UNO-Pakt II; SR 0.103.2) festgelegten Verfahrensgrundsätzen nicht entspricht (Art. 2 lit. a IRSG) oder andere schwere Mängel aufweist (lit. d). Art. 2 IRSG soll verhin- dern, dass die Schweiz die Durchführung von Strafverfahren oder den Voll- zug von Strafen unterstützt, in welchen den Personen die ihnen in einem Rechtsstaat zustehenden und insbesondere durch die EMRK und den UNO- 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w:t>
      </w:r>
    </w:p>
    <w:p>
      <w:r>
        <w:rPr>
          <w:b/>
        </w:rPr>
        <w:t>E. 5.3</w:t>
      </w:r>
    </w:p>
    <w:p>
      <w:r>
        <w:t>Weshalb das rumänische Strafverfahren nach den Grundsätzen der schwei- zerischen Jugendstrafprozessordnung hätte durchgeführt werden sollen, er- läutert der Rechtsvertreter des Beschwerdeführers nicht. Ebenso wenig wird dargelegt und ist auch nicht ersichtlich, aus welchem Grund darüber hinaus</w:t>
      </w:r>
    </w:p>
    <w:p>
      <w:r>
        <w:t>- 13 -</w:t>
      </w:r>
    </w:p>
    <w:p>
      <w:r>
        <w:t>sich der erwachsene Beschwerdeführer darauf hätte berufen können. In den rumänischen Strafurteilen finden sich im Einzelnen Ausführungen zum Ver- lauf des Untersuchungsverfahrens, des gerichtlichen Verfahrens und insbe- sondere zum Beweisverfahren (act. 7.12.b S. 2 ff.). Weiter ist den Urteilser- wägungen zu entnehmen, welche Beweismittel, namentlich die Aussagen von B., C. und des Beschwerdeführers, wie gewürdigt wurden. Inwiefern in diesem Zusammenhang dem Beschwerdeführer die in der EMRK und den UNO-Pakt II umschriebenen Minimalgarantien nicht gewährt worden sein sollen oder der internationale Ordre public verletzt worden sein soll, zeigt der Rechtsvertreter mit seinen allgemein gehaltenen Einwendungen nicht auf und ist auch nicht ersichtlich. Diesbezüglich werden auch nicht andere schwere Mängel im Sinne von Art. 2 lit. d IRSG dargelegt. Nach dem Gesag- ten geht die Rüge fehl.</w:t>
      </w:r>
    </w:p>
    <w:p>
      <w:r>
        <w:rPr>
          <w:b/>
        </w:rPr>
        <w:t>E. 6.1</w:t>
      </w:r>
    </w:p>
    <w:p>
      <w:r>
        <w:t>Der Beschwerdeführer wendet ein, Rumänien halte die Menschenrechtskon- vention nicht ein. Die Haftbedingungen in Bukarest («marode Haftanstalt, welche 5 Häftlinge auf 10 m2 unterbringt, korrupte Vollzugsbeamte, Unge- ziefer und Ratten, kein sauberes Trinkwasser, extrem ausgelebte Gewalt auch unter Insassen etc.») seien bekannt (act. 1).</w:t>
      </w:r>
    </w:p>
    <w:p>
      <w:r>
        <w:t>Sein Rechtsvertreter ergänzt, dass der Beschwerdeführer an Herzproble- men leide und Asthmatiker sei. Seine Beschwerden würden eine engma- schige medizinische Betreuung erfordern. Aufgrund der Gesundheit des Be- schwerdeführers sei unklar, ob dieser reisefähig und ob er hafterstehungs- fähig sei, zumal sich sein Zustand jederzeit ändern könnte (act. 5 S. 7). Er fügt an, Rumänien habe mit Schreiben vom 14. Juni 2023 bestätigt, dass die medizinische Versorgung auch in Haft gewährleistet sei. Es müsse jedoch angenommen werden, dass es sich dabei um verfahrensmotivierte und stan- dardisierte Garantien handle, welche seitens des rumänischen Staates an- gegeben worden seien, zumal nicht daraus ersichtlich werde, dass im kon- kreten Fall die nötige medizinische Versorgung gewährleistet werden könne (act. 5 S. 7).</w:t>
      </w:r>
    </w:p>
    <w:p>
      <w:r>
        <w:rPr>
          <w:b/>
        </w:rPr>
        <w:t>E. 6.2</w:t>
      </w:r>
    </w:p>
    <w:p>
      <w:r>
        <w:t>Wie unter E. 5.2 festgehalten, prüft die Schweiz die Auslieferungsvorausset- zungen des EAUe auch unter dem Blickwinkel ihrer grundrechtlichen völker- rechtlichen Verpflichtungen (vgl. Art. 2 IRSG). Nach internationalem Völker- recht sind Folter und jede andere Art grausamer, unmenschlicher oder er- niedrigender Behandlung oder Bestrafung verboten (Art. 10 Abs. 3 BV; Art. 3 EMRK, Art. 7 und 10 Ziff. 1 UNO-Pakt II [SR 0.103.2]). Es handelt sich um massive Verstösse gegen die Menschenwürde, die den Betroffenen seelisch</w:t>
      </w:r>
    </w:p>
    <w:p>
      <w:r>
        <w:t>- 14 -</w:t>
      </w:r>
    </w:p>
    <w:p>
      <w:r>
        <w:t>und meist auch körperlich schwer treffen. Niemand darf in einen Staat aus- geschafft werden, in dem ihm Folter oder eine andere Art grausamer und unmenschlicher Behandlung oder Bestrafung droht (Art. 25 Abs. 3 BV). Die Haftbedingungen dürfen nicht unmenschlich oder erniedrigend im Sinne von Art. 3 EMRK sein; die physische und psychische Integrität der ausgelieferten Person muss gewahrt sein (vgl. auch Art. 7, 10 und 17 des UNO Pakts II).</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6.3</w:t>
      </w:r>
    </w:p>
    <w:p>
      <w:r>
        <w:t>Weder das EAUe noch das IRSG sehen die Möglichkeit vor, eine Ausliefe- rung aufgrund gesundheitlicher Probleme einer verfolgten Person zu verwei- gern. Die Schweiz und Rumänien haben auch keinen entsprechenden Vor- behalt zum EAUe angebracht. Nach ständiger Rechtsprechung kann daher ein Auslieferungsersuchen grundsätzlich nicht wegen des Gesundheitszu- stands der auszuliefernden Person abgelehnt werden (vgl. dazu z. B. das Urteil des Bundesgerichts 1C_433/2019 vom 2. September 2019 E. 2). Es ist Sache des ersuchenden Staates dafür zu sorgen, dass diese eine ange- messene medizinische Behandlung bekommt und ihrem Gesundheitszu- stand entsprechend untergebracht oder allenfalls, mangels Hafterstehungs- fähigkeit, aus der Haft entlassen wird (siehe dazu das Urteil des Bundesge- richts 1A.116/2003 vom 26. Juni 2003 E. 2).</w:t>
      </w:r>
    </w:p>
    <w:p>
      <w:r>
        <w:rPr>
          <w:b/>
        </w:rPr>
        <w:t>E. 6.4</w:t>
      </w:r>
    </w:p>
    <w:p>
      <w:r>
        <w:t>Das Bundesstrafgericht hat sich bereits im Entscheid RR.2019.222 vom</w:t>
      </w:r>
    </w:p>
    <w:p>
      <w:r>
        <w:rPr>
          <w:b/>
        </w:rPr>
        <w:t>E. 9</w:t>
      </w:r>
    </w:p>
    <w:p>
      <w:r>
        <w:t>Bei diesem Ausgang des Verfahrens sind die Gerichtskosten dem Be- schwerdeführer aufzuerlegen (Art. 63 Abs. 1 VwVG). Die Gerichtsgebühr ist auf Fr. 2‘000.-- festzusetzen (vgl. Art. 63 Abs. 5 VwVG i.V.m. Art. 73 StBOG sowie Art. 5 und 8 Abs. 3 lit. a BStKR).</w:t>
      </w:r>
    </w:p>
    <w:p>
      <w:r>
        <w:rPr>
          <w:b/>
        </w:rPr>
        <w:t>E. 10</w:t>
      </w:r>
    </w:p>
    <w:p>
      <w:r>
        <w:t>Rechtsanwalt Alexander Sami wurde mit Zwischenentscheid vom 24. August 2023 zum amtlichen Rechtsbeistand des Beschwerdeführers ernannt (RP.2023.36, act. 3). Der Rechtsvertreter hat mit der Beschwerdereplik vom 21. September 2023 seine Honorarnote über Fr. 1‘320.-- (inkl. Auslagen und MWST) eingereicht (RP.2023.36, act. 8.2). Das geforderte Honorar erscheint als angemessen und die Entschädigung ist entsprechend festzulegen. Der</w:t>
      </w:r>
    </w:p>
    <w:p>
      <w:r>
        <w:t>- 17 -</w:t>
      </w:r>
    </w:p>
    <w:p>
      <w:r>
        <w:t>Beschwerdeführer ist verpflichtet, das Honorar an die Gerichtskasse zu ver- güten, wenn er später zu hinreichenden Mitteln gelangt (Art. 65 Abs. 2 VwVG i.V.m. Art. 39 Abs. 1 lit. b StBOG).</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