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RR.2023.126 vom 15. Juli 2025</w:t>
      </w:r>
    </w:p>
    <w:p>
      <w:r>
        <w:t>Bundesstrafgericht, 2025-07-15, FR</w:t>
      </w:r>
    </w:p>
    <w:p>
      <w:r>
        <w:rPr>
          <w:b/>
        </w:rPr>
        <w:t xml:space="preserve">Quelle: </w:t>
      </w:r>
      <w:r>
        <w:t>https://mcp.opencaselaw.ch/entscheid/bstger_RR.2023.126</w:t>
      </w:r>
    </w:p>
    <w:p>
      <w:r>
        <w:t>FR: TPF RR.2023.126 du 15 juillet 2025</w:t>
      </w:r>
    </w:p>
    <w:p>
      <w:r>
        <w:t>IT: TPF RR.2023.126 del 15 luglio 2025</w:t>
      </w:r>
    </w:p>
    <w:p>
      <w:pPr>
        <w:pStyle w:val="Heading2"/>
      </w:pPr>
      <w:r>
        <w:t>Regeste</w:t>
      </w:r>
    </w:p>
    <w:p>
      <w:r>
        <w:t>Entraide judiciaire internationale en matière pénale au Koweït; remise de moyens de preuve (art. 74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w:t>
      </w:r>
    </w:p>
    <w:p>
      <w:r>
        <w:t>- 4 -</w:t>
      </w:r>
    </w:p>
    <w:p>
      <w:r>
        <w:t>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Le recours a été interjeté en temps utile (art. 80k EIMP) par une personne ayant qualité pour recourir, soit le titulaire de la relation bancaire dont le MPC entend transmettre la documentation à l'Etat requérant (art. 80h let. b EIMP et 9a let. a OEIMP; ATF 137 IV 134 consid. 5; 118 Ib 547 consid. 1d).</w:t>
      </w:r>
    </w:p>
    <w:p>
      <w:r>
        <w:rPr>
          <w:b/>
        </w:rPr>
        <w:t>E. 1.3</w:t>
      </w:r>
    </w:p>
    <w:p>
      <w:r>
        <w:t>Au vu de ce qui précède, il y a lieu d’entrer en matière.</w:t>
      </w:r>
    </w:p>
    <w:p>
      <w:r>
        <w:rPr>
          <w:b/>
        </w:rPr>
        <w:t>E. 2</w:t>
      </w:r>
    </w:p>
    <w:p>
      <w:r>
        <w:t>Dans un grief d’ordre formel, qu’il sied de traiter en premier lieu, le recourant se plaint d’une violation de son droit d’être entendu (act. 1, p. 9 ss). Il constate que la majeure partie de la demande d’entraide du 4 janvier 2021 et l’intégralité des annexes topiques sont caviardées. Le recourant reproche au MPC de lui avoir dénié dans la décision de clôture entreprise l’accès complet au dossier qu’il avait requis. Il argue, en raison d’un accès trop restreint au dossier, qu’il ne peut vérifier les assertions du MPC qui indique que A. a pu consulter les éléments du dossier pertinents pour la défense de ses intérêts. Le recourant considère qu’il est indubitablement touché par la procédure d’entraide et qu’il doit disposer d’un accès au dossier et aux pièces décisives sur lesquels se fonde la décision de clôture querellée. Selon le recourant, il est inadmissible que le contenu de la demande d’entraide lui soit si largement dissimulé. Il constate notamment qu’un des comptes concernant H. Limited, société pourtant liée au recourant et dont la transmission est requise par le Koweït, est également dissimulé (p. 37 de la demande d’entraide) ce qui, selon le recourant, est incompréhensible et lui permet encore moins de se déterminer sur la demande (act. 1, p. 11 s.).</w:t>
      </w:r>
    </w:p>
    <w:p>
      <w:r>
        <w:rPr>
          <w:b/>
        </w:rPr>
        <w:t>E. 2.1</w:t>
      </w:r>
    </w:p>
    <w:p>
      <w:r>
        <w:t>Compris comme l’un des aspects de la notion générale de procès équitable au sens de l’art. 29 Cst. et de l’art. 6 par. 1 de la Convention de sauvegarde</w:t>
      </w:r>
    </w:p>
    <w:p>
      <w:r>
        <w:t>- 5 -</w:t>
      </w:r>
    </w:p>
    <w:p>
      <w:r>
        <w:t>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2.2</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6e éd. 2024, n° 578 ss).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 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2.3</w:t>
      </w:r>
    </w:p>
    <w:p>
      <w:r>
        <w:t>Comme mentionné supra (consid. 2.2), en entraide, le droit de consulter le dossier s’étend uniquement aux pièces décisives et, s’agissant de la demande d’entraide, sa transmission peut être limitée aux passages concernant l’intéressé. En l’espèce, il ne ressort pas du dossier et des</w:t>
      </w:r>
    </w:p>
    <w:p>
      <w:r>
        <w:t>- 6 -</w:t>
      </w:r>
    </w:p>
    <w:p>
      <w:r>
        <w:t>arguments du recourant en quoi le caviardage reproché au MPC l’empêcherait de comprendre le contenu de ladite demande et, contrairement aux affirmations du recourant, de contrôler le respect des conditions de l’entraide. Il en découle que l’accès au dossier, tel qu’octroyé par le MPC durant la procédure de recours, est conforme à la jurisprudence et respecte son droit d’être entendu. Le recourant a manifestement disposé des données suffisantes pour connaître l'objet de la demande d'entraide le concernant. Il a été en mesure de comprendre et d'attaquer efficacement la décision querellée, puisqu’il a soulevé des griefs bien précis et argumentés, griefs traités dans le présent arrêt (infra consid. 3 ss)</w:t>
      </w:r>
    </w:p>
    <w:p>
      <w:r>
        <w:rPr>
          <w:b/>
        </w:rPr>
        <w:t>E. 2.4</w:t>
      </w:r>
    </w:p>
    <w:p>
      <w:r>
        <w:t>De surcroît et par surabondance, il sied de rappeler que la consultation par les parties des seules pièces pertinentes est en outre conforme à l’obligation de célérité ancrée à l’art. 17a al. 1 EIMP.</w:t>
      </w:r>
    </w:p>
    <w:p>
      <w:r>
        <w:rPr>
          <w:b/>
        </w:rPr>
        <w:t>E. 2.5</w:t>
      </w:r>
    </w:p>
    <w:p>
      <w:r>
        <w:t>Il s’ensuit que le grief, mal fondé, doit être rejeté.</w:t>
      </w:r>
    </w:p>
    <w:p>
      <w:r>
        <w:rPr>
          <w:b/>
        </w:rPr>
        <w:t>E. 3</w:t>
      </w:r>
    </w:p>
    <w:p>
      <w:r>
        <w:t>Le recourant dénonce une situation d’entraide sauvage et fait valoir une violation du principe de la bonne foi entre Etat (act. 1, p. 12 s.). Il relève que la demande d’entraide contient son nom ainsi que le numéro de son compte, ainsi que les sources d’alimentation de ce dernier et différentes transactions dudit compte. Il doute que son numéro de compte se trouvait dans la documentation déjà transmise au Koweït à la suite de la première demande d’entraide du 14 juin 2011, sans quoi les autorités koweïtiennes auraient requis la transmission des documents relatifs à ce compte bien plus tôt. Selon le recourant, le Procureur général du Koweït serait entré en possession de ces informations par le biais de l’institution D., partie plaignante dans la procédure nationale SV.12.0530. Le recourant constate que la période des faits retenus dans la demande d’entraide s’étend de 2008 à 2010, ce qui correspond précisément à la période sur laquelle porte la documentation. Il pense dès lors que l’Etat requérant a d’ores et déjà accès au contenu précis de cette documentation. Le recourant considère que la transmission intempestive de ces informations aux autorités koweïtiennes constitue un cas d’entraide sauvage et viole le principe de la bonne foi. En outre, il estime que ce principe interdit formellement au Koweït de fonder sa demande d’entraide sur la base de documents obtenus en violation du droit.</w:t>
      </w:r>
    </w:p>
    <w:p>
      <w:r>
        <w:rPr>
          <w:b/>
        </w:rPr>
        <w:t>E. 3.1</w:t>
      </w:r>
    </w:p>
    <w:p>
      <w:r>
        <w:t>Selon le principe de la bonne foi, les Etats sont tenus d’exécuter les obligations que leur imposent les traités, en s’abstenant de tout acte contrecarrant l’objet ou le but de ceux-ci (ZIMMERMANN, op. cit., n° 208; v. aussi ATF 143 II 224 consid. 6.3). La bonne foi doit également être respectée par les Etats dans l’accomplissement de leurs devoirs</w:t>
      </w:r>
    </w:p>
    <w:p>
      <w:r>
        <w:t>- 7 -</w:t>
      </w:r>
    </w:p>
    <w:p>
      <w:r>
        <w:t>internationaux (ATF 121 I 181 consid. 2c et référence citée). En application des principes de la confiance et de la bonne foi internationale régissant les relations entre les Etats, il est généralement admis que l’Etat requis se fie aux explications fournies par l’Etat requérant (LUDWICZAK GLASSEY, Entraide judiciaire internationale en matière pénale, 2018, n° 56). Dès lors, lorsque les conditions posées par le traité sont remplies, l’Etat ne peut pas se soustraire à son obligation de prêter sa coopération (ZIMMERMANN, loc. cit.). Le principe de la confiance se concrétise, notamment, en matière de compétence internationale de l’Etat requérant ou de l’exposé des faits présenté à l’appui de sa requête d’assistance (LUDWICZAK GLASSEY, loc. cit.). Aux termes de l’art. 5 al. 3 Cst., les organes de l’Etat et les particuliers doivent agir de manière conforme aux règles de la bonne foi. De ce principe général découle, entre autres, le droit fondamental du particulier à la protection de sa bonne foi dans ses relations avec l’Etat (v. art. 9 Cst. in fine; ATF 138 I 49 consid. 8.3.1 et les références citées). Le principe de la bonne foi exige que l’autorité s’abstienne de tout comportement propre à tromper les administrés ou contradictoire (MALINVERNI/HOTTELIER/HERTIG RANDALL/FLÜCKIGER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 Le principe de la bonne foi englobe trois sous- 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arrêt du Tribunal pénal fédéral RR.2021.209+210+211-212+213 du 26 janvier 2022 consid. 4.1; MALINVERNI et al., op. cit., vol. II, n° 1308).</w:t>
      </w:r>
    </w:p>
    <w:p>
      <w:r>
        <w:rPr>
          <w:b/>
        </w:rPr>
        <w:t>E. 3.2</w:t>
      </w:r>
    </w:p>
    <w:p>
      <w:r>
        <w:t>Ce que l’on appelle l’entraide sauvage est une forme de la fraude à la loi, consistant à utiliser les instruments de l’entraide, contre les objectifs et les principes directeurs de celle-ci. La particularité de cette fraude est qu’elle est commise par l’autorité, soit l’autorité d’exécution de la demande d’entraide étrangère ou l’autorité de poursuite pénale suisse qui demande l’entraide à l’étranger. Il s’agit au mieux d’un détournement de la procédure, au pire d’une forfaiture: sous prétexte de demander l’entraide, on la donne, sans limite et sans contrôle. Or, il est interdit à l’autorité suisse qui demande l’entraide de transmettre, dans le cadre de cette procédure, des moyens de preuve directement et immédiatement utilisables dans la procédure pénale</w:t>
      </w:r>
    </w:p>
    <w:p>
      <w:r>
        <w:t>- 8 -</w:t>
      </w:r>
    </w:p>
    <w:p>
      <w:r>
        <w:t>ouverte à l’étranger (ou qui va s’ouvrir, à la suite de la présentation de la demande suisse). On peut transmettre des informations, nécessaires à l’Etat requis étranger afin de vérifier la conformité de la demande suisse aux normes applicables, d’une part, et de l’exécuter efficacement, d’autre part. En revanche, il est interdit de transmettre, à l’appui d’une demande suisse d’entraide, des moyens de preuve (ZIMMERMANN, op. cit., n° 510). Lorsque les autorités de deux Etats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loc. cit.; LUDWICZAK GLASSEY, op. cit., n° 327). L’interdiction de l’entraide sauvage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 La transmission spontanée d’informations sans tenir compte des restrictions de l’art. 67a EIMP représente une autre forme d’« entraide sauvage » prohibée (ZIMMERMANN, loc. cit.). Il s’ensuit que tant une demande d’entraide active qu’une transmission spontanée d’informations peuvent, lorsqu’elles sont détournées de leurs finalités, constituer un cas d’entraide « sauvage » (arrêt du Tribunal pénal fédéral RR.2021.209+210+211-212+213 précité consid. 4.2.2).</w:t>
      </w:r>
    </w:p>
    <w:p>
      <w:r>
        <w:rPr>
          <w:b/>
        </w:rPr>
        <w:t>E. 3.3</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l’Etat, déjà saisi d’une demande d’entraide judiciaire, livre spontanément des informations propres à favoriser la procédure dans l’Etat requérant, mais qui n’ont pas été requises. Dans le second, les renseignements, transmis indépendamment de toute procédure d’assistance judiciaire, sont propres à motiver une demande d’entraide. Le but d’une telle transmission est ainsi d’éviter que des renseignements utiles</w:t>
      </w:r>
    </w:p>
    <w:p>
      <w:r>
        <w:t>- 9 -</w:t>
      </w:r>
    </w:p>
    <w:p>
      <w:r>
        <w:t>à une procédure pénale demeurent inexploités faute d’information adéquate à l’autorité étrangère (ATF 139 IV 137 consid. 4.4; 129 II 544 consid. 3.1 et 3.2; arrêt du Tribunal pénal fédéral RR.2010.252 du 27 janvier 2011 consid. 4 et jurisprudence citée).</w:t>
      </w:r>
    </w:p>
    <w:p>
      <w:r>
        <w:rPr>
          <w:b/>
        </w:rPr>
        <w:t>E. 3.4</w:t>
      </w:r>
    </w:p>
    <w:p>
      <w:r>
        <w:t>Le droit suisse de procédure fixe le principe de la licéité de la preuve, ce qui exclut celle recueillie par des moyens qui ne sont pas prévus par la loi et qui lèsent les droits constitutionnels de la personne visée (ZIMMERMANN, op. cit., n° 849).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aussi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 2e éd. 2018, n° 9007; MOREILLON/PAREIN-REYMOND, Petit Commentaire, 2e éd. 2016, n° 10 ad art. 141 CPP).</w:t>
      </w:r>
    </w:p>
    <w:p>
      <w:r>
        <w:rPr>
          <w:b/>
        </w:rPr>
        <w:t>E. 3.5</w:t>
      </w:r>
    </w:p>
    <w:p>
      <w:r>
        <w:t>En l’espèce, et le recourant émet à cet égard de simples suppositions, on ignore si les informations litigieuses ont été recueillies dans le cadre de l’entraide ou par la remise de l’institution D. Dans la première hypothèse, les allégations du recourant ne correspondent pas à une situation d’entraide sauvage telle que définie supra. Dans la seconde, l’accès au dossier suisse par l’institution D. s’est fait en toute légalité. Comme déjà relevé par le MPC (act. 1.2, p. 7), l’introduction de la présente procédure d’entraide indique qu’il n’y a pas de volonté de détourner les règles de l’entraide. En tout état de cause, lesdites informations auraient pu être transmises spontanément selon l’art. 67a EIMP et, en l’occurrence, il n’est pas démontré que l’Etat requérant détiendrait des moyens de preuve relatifs au recourant (v. ATF 139 IV 237 consid. 4.6.3 ss; arrêt du Tribunal pénal fédéral RR.2023.43 du 9 octobre 2023 consid. 6.2.1).</w:t>
      </w:r>
    </w:p>
    <w:p>
      <w:r>
        <w:rPr>
          <w:b/>
        </w:rPr>
        <w:t>E. 3.6</w:t>
      </w:r>
    </w:p>
    <w:p>
      <w:r>
        <w:t>Au vu de ce qui précède, le grief, mal fondé, doit être rejeté.</w:t>
      </w:r>
    </w:p>
    <w:p>
      <w:r>
        <w:t>- 10 -</w:t>
      </w:r>
    </w:p>
    <w:p>
      <w:r>
        <w:rPr>
          <w:b/>
        </w:rPr>
        <w:t>E. 4</w:t>
      </w:r>
    </w:p>
    <w:p>
      <w:r>
        <w:t>Le recourant se plaint d’un contournement des règles relatives à l’obligation de dépôt prévue à l’art. 265 CPP. Il relève que cette disposition consacre l’obligation de dépôt à charge du détenteur d’objets ou de valeurs patrimoniales qui doivent être séquestrés. Le recourant fait valoir que la procédure de mise sous scellés au sens de l’art. 248 al. 1 CPP, qui vise à sauvegarder des informations protégées, peut intervenir à la suite d’un ordre de dépôt au sens de l’art. 265 CPP. Elle s’applique également à la suite d’ordre de dépôt émis dans le cadre de l’exécution d’une demande d’entraide. Il argue que selon le Tribunal fédéral, l’art. 248 CPP ne s’applique pas aux documents et autres données obtenues par la voie d’une demande de production de dossier selon l’art. 194 CPP. Le recourant soutient que selon la jurisprudence (a contrario ACRP/434/2019 du 12 juin 2019 cf. également arrêt du Tribunal fédéral 1B_547/2018 du 15 janvier 2019 consid. 1.2), il est prohibé de priver le prévenu ou le tiers concerné de la possibilité d’exercer les droits que leur confèrent les art. 246 et 248 CPP en procédant par une demande d’apport de dossier au sens de l’art. 194 CPP, en lieu et place d’une obligation de dépôt de l’art. 265 CPP, si lesdites personnes n’ont pas eu la possibilité de faire valoir leurs objections dans la procédure d’où proviennent les documents litigieux (act. 1, p. 13 s.). Le recourant considère qu’en l’espèce, l’apport de la documentation relative à la relation bancaire n°2 auprès de la banque E. à la procédure d’entraide constitue un contournement prohibé des règles relatives à l’obligation de dépôt prévue à l’art. 265 CPP. Il allègue qu’il n’a jamais été partie à la procédure nationale SV.12.0530 et qu’il n’a donc jamais pu faire valoir ses droits contre l’édition des documents dont la transmission au Koweït est envisagée. Le recourant requiert dès lors que la documentation bancaire litigieuse soit retranchée de la présente procédure d’entraide, son obtention devant obligatoirement passer par un ordre de dépôt au sens de l’art. 265 CPP, au terme duquel il pourra faire valoir ses droits, soit notamment ses objections et son droit au maintien du secret (act. 1, p. 14).</w:t>
      </w:r>
    </w:p>
    <w:p>
      <w:r>
        <w:rPr>
          <w:b/>
        </w:rPr>
        <w:t>E. 4.1</w:t>
      </w:r>
    </w:p>
    <w:p>
      <w:r>
        <w:t>Dans la décision entreprise, le MPC explique que les documents obtenus auprès de la banque E. l’ont été par obligation de dépôt des 2 mai 2018 et 22 mai 2019 rendues dans le cadre de la procédure SV.12.0530. Il considère que le fait que la personne touchée n’était pas partie à cette procédure est sans pertinence en ce qui concerne la procédure de scellés. Il rappelle que la procédure pénale garantit en effet aux tiers touchés par des actes de procédure la qualité de partie dans la mesure nécessaire à la sauvegarde de leurs intérêts (cf. art. 105 al. 1 let. f et al. 2 CPP). Rien ne permet de considérer que la personne touchée n’a pas pu faire valoir ses droits dans le cadre de la procédure SV.12.0530 et que, dès lors, ceux-ci n’auraient pas été respectés. Le MPC fait valoir qu’il a ensuite apporté les pièces à la présente procédure d’entraide le 20 août 2021 conformément aux règles</w:t>
      </w:r>
    </w:p>
    <w:p>
      <w:r>
        <w:t>- 11 -</w:t>
      </w:r>
    </w:p>
    <w:p>
      <w:r>
        <w:t>légales applicables. Il postule que cette manière de procéder n’est aucunement un contournement de la procédure des scellés relative à l’art. 265 CPP. En tout état de cause, le MPC estime que les documents de la procédure SV.12.0530 consistent en des faits connus de l’autorité; ainsi, celle-ci peut librement en disposer (art. 139 al. 2 et 309 al. 1 let. a CPP). Dès lors, selon le MPC, rien ne justifie de retrancher les pièces du dossier et d’adresser un nouvel ordre de dépôt au sens de l’art. 265 CPP auprès de l’établissement concerné. Quant à la demande subsidiaire de mise sous scellés invoquée par la personne touchée, celle-ci est sans objet, les documents étant en possession du MPC depuis respectivement quatre à cinq ans et ont fait l’objet d’une exploitation complète. Finalement, il conclut que le droit d’être entendu a été garanti dans le cadre de la présente procédure (act. 1.2, p. 8 s.).</w:t>
      </w:r>
    </w:p>
    <w:p>
      <w:r>
        <w:rPr>
          <w:b/>
        </w:rPr>
        <w:t>E. 4.1.1</w:t>
      </w:r>
    </w:p>
    <w:p>
      <w:r>
        <w:t>L’argumentation du MPC ne prête pas le flanc à la critique. Selon la jurisprudence, dans la mesure où la demande de production vise une procédure déjà terminée, on peut considérer que les intéressés ont déjà pu, dans ce cadre, faire valoir leurs objections et leur droit au maintien de certains secrets (arrêt du Tribunal fédéral 1B_547/2018 du 15 janvier 2019 consid. 1.2). Le recourant n’étaye pas et ne démontre pas en quoi la procédure nationale n’aurait pas été respectée. Il ne prétend par exemple d’ailleurs pas qu’il aurait désigné un domicile de notification en Suisse qui lui aurait permis de participer à ladite procédure (art. 87 CPP) et qui aurait été ignoré par les autorités suisses. Il sied en outre de constater que les documents en question ne seront remis à l’Etat requérant qu’après l’entrée en force de la décision de clôture et que le recourant a pu faire valoir son droit d’être entendu dans la procédure d’entraide. Ce qui scelle le sort du grief.</w:t>
      </w:r>
    </w:p>
    <w:p>
      <w:r>
        <w:rPr>
          <w:b/>
        </w:rPr>
        <w:t>E. 4.2</w:t>
      </w:r>
    </w:p>
    <w:p>
      <w:r>
        <w:t>Au vu de ce qui précède, le recours, mal fondé, doit être rejeté.</w:t>
      </w:r>
    </w:p>
    <w:p>
      <w:r>
        <w:rPr>
          <w:b/>
        </w:rPr>
        <w:t>E. 5</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en tant que partie qui succombe, le recourant doit supporter les frais du présent arrêt, lesquels sont fixés à CHF 5’000.--, intégralement couverts par l’avance de frais déjà</w:t>
      </w:r>
    </w:p>
    <w:p>
      <w:r>
        <w:t>- 12 -</w:t>
      </w:r>
    </w:p>
    <w:p>
      <w:r>
        <w:t>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