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RR.2023.122 vom 13. November 2023</w:t>
      </w:r>
    </w:p>
    <w:p>
      <w:r>
        <w:t>Bundesstrafgericht, 2023-11-13, IT</w:t>
      </w:r>
    </w:p>
    <w:p>
      <w:r>
        <w:rPr>
          <w:b/>
        </w:rPr>
        <w:t xml:space="preserve">Quelle: </w:t>
      </w:r>
      <w:r>
        <w:t>https://mcp.opencaselaw.ch/entscheid/bstger_RR.2023.122</w:t>
      </w:r>
    </w:p>
    <w:p>
      <w:r>
        <w:t>FR: TPF RR.2023.122 du 13 novembre 2023</w:t>
      </w:r>
    </w:p>
    <w:p>
      <w:r>
        <w:t>IT: TPF RR.2023.122 del 13 novembre 2023</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1.3</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entrato in vigore il 1° gennaio 2012 per l’Ucraina ed il 1° febbraio 2005 per la Svizzera. Di rilievo nella fattispecie è anche la Convenzione delle Nazioni Unite contro la corruzione (RS 0.311.56), entrata in vigore il 1° gennaio 2010 per l’Ucraina e il 24 ottobre 2009 per la Svizzera. Alle questioni che il prevalente diritto internazionale non regola espressamente o implicitamente, come pure</w:t>
      </w:r>
    </w:p>
    <w:p>
      <w:r>
        <w:t>- 4 -</w:t>
      </w:r>
    </w:p>
    <w:p>
      <w:r>
        <w:t>quando il diritto nazionale sia più favorevole all'assistenza rispetto a quello convenzionale (cosiddetto principio di favore) si applica la legge federale sull'as- sistenza internazionale in materia penale unitamente alla relativa ordinanza (OAIMP; RS 351.11; v. art. 1 cpv. 1 AIMP; DTF 145 IV 294 consid. 2.1; 142 IV 250 consid. 3; 140 IV 123 consid. 2). È fatto salvo il rispetto dei diritti fondamen- tali (DTF 145 IV 294 consid. 2.1; 123 II 595 consid. 7c; TPF 2016 65 con- sid 1.2.).</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1.5</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 Interposto tempestivamente contro la sopraccitata decisione di chiusura, il ricorso è rice- vibile sotto il profilo degli art. 25 cpv. 1, 80e cpv. 1 e 80k AIMP. Titolare della relazione bancaria n. 1 presso la banca C., la ricorrente è legittimata a ricorrere (v. art. 80h lett. b AIMP e art. 9a lett. a OAIMP nonché DTF 137 IV 134 consid. 5.2.1; 130 II 162 consid. 1.1; 128 II 211 consid. 2.3; TPF 2007 79 consid. 1.6 pag. 82).</w:t>
      </w:r>
    </w:p>
    <w:p>
      <w:r>
        <w:rPr>
          <w:b/>
        </w:rPr>
        <w:t>E. 2</w:t>
      </w:r>
    </w:p>
    <w:p>
      <w:r>
        <w:t>La ricorrente sostiene che l’esposto dei fatti della rogatoria non sarebbe suffi- cientemente preciso e non permetterebbe di verificare il requisito della doppia punibilità.</w:t>
      </w:r>
    </w:p>
    <w:p>
      <w:r>
        <w:rPr>
          <w:b/>
        </w:rPr>
        <w:t>E. 2.1.1</w:t>
      </w:r>
    </w:p>
    <w:p>
      <w:r>
        <w:t>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altresì un breve esposto dei fatti essenziali, al fine di permettere allo Stato ro- gato di verificare che non sussistano condizioni ostative all'assistenza (DTF 129 II 97 consid. 3; 118 Ib 111 consid. 5b pag. 121, 547 consid. 3a; 117 Ib 64 con- 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w:t>
      </w:r>
    </w:p>
    <w:p>
      <w:r>
        <w:t>- 5 -</w:t>
      </w:r>
    </w:p>
    <w:p>
      <w:r>
        <w:t>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2.1.2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2.2.1</w:t>
      </w:r>
    </w:p>
    <w:p>
      <w:r>
        <w:t>In concreto, la rogatoria ha ben illustrato l’oggetto del procedimento penale estero, ampiamente ripreso dal MPC nella decisione impugnata. In particolare, “l’attività di indagine condotta dall’autorità rogante ha […] permesso di appurare che dopo l’approvazione del programma di rifinanziamento da parte della banca D. ucraina avvenuta nel 2016, funzionari e azionisti della banca B., ossia E. e F., che dovevano garantire circa la tenuta della banca, erano obbligati a intra- prendere misure volte all’aumento di capitale nell’ordine di (equivalenti) USD 3,6 miliardi, ciò che sarebbe dovuto avvenire modificando la struttura dei</w:t>
      </w:r>
    </w:p>
    <w:p>
      <w:r>
        <w:t>- 6 -</w:t>
      </w:r>
    </w:p>
    <w:p>
      <w:r>
        <w:t>prestiti sino ad allora messa in atto, in particolare trasferendo gli stessi a entità con sufficienti indici di rendimento e con il deposito di garanzie aggiuntive. No- nostante queste chiare direttive contenute nel programma di risanamento e gli obblighi degli ex azionisti di maggioranza, nel corso del 2016 ben 193 prestiti erogati a entità sotto il controllo degli ex azionisti sono stati in seguito trasferiti verso trentasei società - la maggior parte delle quali di nuova creazione - che non disponevano di mezzi finanziari sufficienti per rimborsare i prestiti, non di- sponendo in aggiunta nemmeno dei requisiti per ottenerli, data l’assenza di reali attività commerciali. Inoltre venivano applicati tassi di interesse sensibilmente inferiori ai tassi di mercato unitamente a dei termini di rimborso molto estesi. Tutte queste trentasei società alle quali sono stati trasferiti i vecchi prestiti sono collegate alla banca B. e non vi sono fonti chiare, certe e trasparenti in ordine alla loro capacità economica. In altre parole, l’indagine ha permesso di accla- rare che la banca B. ha concesso prestiti a società senza procedere a una va- lutazione della loro solvibilità e senza ottenere delle garanzie, come invece pre- visto contrattualmente. Come conseguenza di tutto quanto appena descritto, l’elevata esposizione debitoria della banca B. ha minacciato il sistema finanzia- rio dell’Ucraina a causa dell’importanza sistemica che questo istituto finanziario ricopriva” (act. 1.1, pag. 2). Da quanto emerso dalle indagini estere, nonché sulla base d’informazioni comunicate dal MPC all’autorità rogante, “emerge che il conto oggetto della presente decisione è stato alimentato, in data 7 aprile 2011, da un bonifico di USD 5'298'375.– in provenienza da un conto acceso presso la filiale cipriota della banca B., che l'autorità estera sospetta possa avere la propria origine nel sistema dei prestiti fraudolenti, e quindi di condotte distrattive, a danno della banca B.” (ibidem, pag. 5 e seg.).</w:t>
      </w:r>
    </w:p>
    <w:p>
      <w:r>
        <w:t>Quanto precede soddisfa le esigenze normative e giurisprudenziali poste in materia di esposto dei fatti. Sufficientemente chiaro risulta essere in ogni caso il motivo che ha indotto l’autorità rogante a chiedere di ottenere la documenta- zione litigiosa, legato al bonifico di cui sopra. Per il resto, non spetta al giudice dell'assistenza approfondire ulteriormente la fattispecie oggetto d'inchiesta, tan- tomeno ottenere le prove dei contestati reati. Sarà proprio la documentazione litigiosa a permettere all'autorità estera di progredire nella sua attività investiga- tiva e di acclarare ulteriormente le condotte mosse a carico dei soggetti indagati. La censura va dunque respinta.</w:t>
      </w:r>
    </w:p>
    <w:p>
      <w:r>
        <w:rPr>
          <w:b/>
        </w:rPr>
        <w:t>E. 2.2.2</w:t>
      </w:r>
    </w:p>
    <w:p>
      <w:r>
        <w:t>Inoltre, se trasposti nel contesto giuridico elvetico, i fatti sopra descritti possono senz'altro essere sussunti ai reati di amministrazione infedele (art. 158 CP) e appropriazione indebita (art. 138 CP), per cui la condizione della doppia punibi- lità è senz’altro ossequiata.</w:t>
      </w:r>
    </w:p>
    <w:p>
      <w:r>
        <w:t>- 7 -</w:t>
      </w:r>
    </w:p>
    <w:p>
      <w:r>
        <w:rPr>
          <w:b/>
        </w:rPr>
        <w:t>E. 3</w:t>
      </w:r>
    </w:p>
    <w:p>
      <w:r>
        <w:t>L’insorgente afferma che la decisione impugnata violerebbe il principio della proporzionalità, costituendo la rogatoria estera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 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w:t>
      </w:r>
    </w:p>
    <w:p>
      <w:r>
        <w:t>- 8 -</w:t>
      </w:r>
    </w:p>
    <w:p>
      <w:r>
        <w:t>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 tion, la quale è definita dalla giurisprudenza una ricerca generale e indetermi- 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Nella fattispecie, alla luce di quanto già esposto in precedenza, l’utilità poten- ziale della documentazione litigiosa è certamente data (v. supra consid. 2.2.1). Come indicato dalla giurisprudenza (v. supra consid. 3.1), vista la natura dei reati ipotizzati, tutta la documentazione bancaria va trasmessa alle autorità ucraine, affinché queste possano ricostruire tutti i flussi di denaro di potenziale origine criminale. Il fatto che il conto in questione sia stato alimentato, in data</w:t>
      </w:r>
    </w:p>
    <w:p>
      <w:r>
        <w:rPr>
          <w:b/>
        </w:rPr>
        <w:t>E. 7</w:t>
      </w:r>
    </w:p>
    <w:p>
      <w:r>
        <w:t>aprile 2011, da un bonifico di EUR 5'298’375.– proveniente proprio da un conto acceso presso la filiale cipriota della banca B., che l’autorità estera so- spetta avere la propria origine nelle condotte distrattive a danno della stessa banca B., dimostra palesemente l’utilità potenziale della documentazione in questione, per altro giustamente limitata dal MPC alla documentazione di</w:t>
      </w:r>
    </w:p>
    <w:p>
      <w:r>
        <w:t>- 9 -</w:t>
      </w:r>
    </w:p>
    <w:p>
      <w:r>
        <w:t>apertura e agli estratti conto del 2011, anno in cui è avvenuto l’accredito incri- minato, nonché al giustificativo di quest’ultima operazione, la quale si inserisce nel periodo investigato dall’autorità estera, ossia 2010-2016. Spetterà comun- que al giudice estero del merito valutare se dalla documentazione bancaria inoltrata emerge in concreto una connessione penalmente rilevante fra i fatti oggetto della procedura penale in Ucraina e la stessa documentazione. In defi- nitiva, la trasmissione di quest’ultima rispetta il principio della proporzionalità e non costituisce un’inammissibile fishing expedition.</w:t>
      </w:r>
    </w:p>
    <w:p>
      <w:r>
        <w:t>4. In conclusione, il ricorso va respinto e la decisione impugnata confermata.</w:t>
      </w:r>
    </w:p>
    <w:p>
      <w:r>
        <w:t>5. 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5'000.–, a carico della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