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RR.2022.98 vom 15. November 2022</w:t>
      </w:r>
    </w:p>
    <w:p>
      <w:r>
        <w:t>Bundesstrafgericht, 2022-11-15, FR</w:t>
      </w:r>
    </w:p>
    <w:p>
      <w:r>
        <w:rPr>
          <w:b/>
        </w:rPr>
        <w:t xml:space="preserve">Quelle: </w:t>
      </w:r>
      <w:r>
        <w:t>https://mcp.opencaselaw.ch/entscheid/bstger_RR.2022.98</w:t>
      </w:r>
    </w:p>
    <w:p>
      <w:r>
        <w:t>FR: TPF RR.2022.98 du 15 novembre 2022</w:t>
      </w:r>
    </w:p>
    <w:p>
      <w:r>
        <w:t>IT: TPF RR.2022.98 del 15 novembre 2022</w:t>
      </w:r>
    </w:p>
    <w:p>
      <w:pPr>
        <w:pStyle w:val="Heading2"/>
      </w:pPr>
      <w:r>
        <w:t>Regeste</w:t>
      </w:r>
    </w:p>
    <w:p>
      <w:r>
        <w:t>Entraide judiciaire internationale en matière pénale à l'Ukraine; remise de moyens de preuve (art. 74 EIMP); saisie conservatoire (art. 33a OEIMP)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w:t>
      </w:r>
    </w:p>
    <w:p>
      <w:r>
        <w:t>- 5 -</w:t>
      </w:r>
    </w:p>
    <w:p>
      <w:r>
        <w:t>1993 pour la Suisse et le 1er mai 1998 pour l'Ukraine, ainsi qu’en matière de blanchiment d’argent, les art. 43 ss et, en particulier, l’art. 46, par renvoi des art. 14 et 23, de la Convention des Nations Unies contre la corruption, conclue le 31 octobre 2003, entrée en vigueur pour l’Ukraine le 1er janvier 2010 et pour la Suisse le 24 octobre 2009 (UNCAC; RS 0.311.56).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w:t>
      </w:r>
    </w:p>
    <w:p>
      <w:r>
        <w:t>- 6 -</w:t>
      </w:r>
    </w:p>
    <w:p>
      <w:r>
        <w:t>consid. 1.2).</w:t>
      </w:r>
    </w:p>
    <w:p>
      <w:r>
        <w:rPr>
          <w:b/>
        </w:rPr>
        <w:t>E. 1.4.2</w:t>
      </w:r>
    </w:p>
    <w:p>
      <w:r>
        <w:t>En l'espèce, les deux recours sont interjetés à l'encontre de décisions de clôture dont l’argumentation est en tous points similaire et reposent sur le même complexe de faits. En outre, les recourantes, représentées par les mêmes avocats, invoquent des arguments et prennent des conclusions identiques, sans faire valoir d'intérêts contradictoires qui commanderaient un prononcé séparé, de sorte qu’il se justifie de joindre les causes RR.2022.98 et RR.2022.99.</w:t>
      </w:r>
    </w:p>
    <w:p>
      <w:r>
        <w:rPr>
          <w:b/>
        </w:rPr>
        <w:t>E. 1.5</w:t>
      </w:r>
    </w:p>
    <w:p>
      <w:r>
        <w:t>Titulaires des relations bancaires dont le MPC ordonne la transmission de la documentation à l’Etat requérant, les recourantes disposent de la qualité pour recourir contre les prononcés entrepris (art. 80h let. b EIMP et 9a let. a et b OEIMP; ATF 137 IV 134 consid. 5; 118 Ib 547 consid. 1d).</w:t>
      </w:r>
    </w:p>
    <w:p>
      <w:r>
        <w:rPr>
          <w:b/>
        </w:rPr>
        <w:t>E. 1.6</w:t>
      </w:r>
    </w:p>
    <w:p>
      <w:r>
        <w:t>Interjetés le 2 juin 2022, contre des décisions notifiées le 3 mai 2022, les recours ont été déposés en temps utile (art. 80k EIMP).</w:t>
      </w:r>
    </w:p>
    <w:p>
      <w:r>
        <w:rPr>
          <w:b/>
        </w:rPr>
        <w:t>E. 1.7</w:t>
      </w:r>
    </w:p>
    <w:p>
      <w:r>
        <w:t>Les recours sont recevables et il y a lieu d’entrer en matière.</w:t>
      </w:r>
    </w:p>
    <w:p>
      <w:r>
        <w:rPr>
          <w:b/>
        </w:rPr>
        <w:t>E. 2</w:t>
      </w:r>
    </w:p>
    <w:p>
      <w:r>
        <w:t>Dans un premier grief, les recourantes estiment que les lacunes et incohérences en lien avec les soupçons d’escroquerie fiscale devraient conduire au refus de l’entraide et à la levée des séquestres, au motif que les accusations dans l’Etat requérant ne seraient pas établies, sérieuses ou étayées. Preuve en serait le rejet définitif, par divers tribunaux de districts et d’appel ukrainiens, de cinq requêtes des autorités de poursuite ukrainiennes de séquestre des valeurs patrimoniales sur les comptes des recourantes près la banque C. concernés par la présente procédure. L’Etat requérant aurait omis de mentionner, dans sa demande initiale, mais également dans les complément et courrier des 25 novembre 2021 et 15 février 2022, les quatre premiers rejets, tous postérieurs à la demande d’entraide, ainsi que la décision du 6 mai 2019 confirmant le classement d’une précédente procédure pénale, ouverte à raison des mêmes soupçons que ceux à la base de la demande d’entraide. S’ajouterait à cela un jugement civil d’un tribunal de district du 30 septembre 2021, confirmant que les accusations ne seraient pas conformes à la réalité et que les sociétés ukrainiennes, dont G. LLC, et recourantes ne seraient pas des filiales du groupe E. LLC et, partant, seraient sans lien avec D. Les recourantes soutiennent qu’elles n’auraient ainsi aucun intérêt à vendre aux sociétés ukrainiennes du matériel à des prix inférieurs à ceux du marché. Quant au séquestre prononcé le 23 juin 2022, il l’a été ex parte, soit sans contradictoire, en présence du seul procureur en charge de l’affaire, et sans examen approfondi du dossier; les recourantes ont d’ailleurs déposé un recours contre ce prononcé le 1er juillet 2022. Elles</w:t>
      </w:r>
    </w:p>
    <w:p>
      <w:r>
        <w:t>- 7 -</w:t>
      </w:r>
    </w:p>
    <w:p>
      <w:r>
        <w:t>se prévalent également du fait qu’un examen effectué par le Service de douane ukrainien a révélé que les prix de deux produits chinois déclarés à l’importation, en vue du prélèvement des taxes, entre juillet 2019 et juillet 2020, par deux sociétés ukrainiennes ayant revendu le matériel électronique en Ukraine seraient conformes à ceux du marché (act. 1, p. 20 ss; act. 14 et 18).</w:t>
      </w:r>
    </w:p>
    <w:p>
      <w:r>
        <w:rPr>
          <w:b/>
        </w:rPr>
        <w:t>E. 2.1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t>- 8 -</w:t>
      </w:r>
    </w:p>
    <w:p>
      <w:r>
        <w:rPr>
          <w:b/>
        </w:rPr>
        <w:t>E. 2.2</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2.3</w:t>
      </w:r>
    </w:p>
    <w:p>
      <w:r>
        <w:t>Au vu de ce qui précède, la demande d’entraide et son complément indiquent l’autorité dont ils émanent, les motifs et buts de l'entraide, les causes de la procédure pénale nationale actuellement menée, ainsi que les personnes, en l’état, concernées par celle-ci, un exposé sommaire des faits et leur qualification juridique selon le droit ukrainien, ce qui satisfait manifestement les conditions de la CEEJ et de l'EIMP. L’Etat requérant n’a pas à fournir de preuve des faits décrits, même lorsqu’il en va, comme en l’espèce, d’escroquerie fiscale (v. infra consid. 2.6.2). Les reproches des recourantes ne permettent, en l’espèce, pas de renverser la présomption de bonne foi dont bénéficie l'Etat requérant (v. supra consid. 2.2). Aucun indice ne laisse penser que les autorités ukrainiennes auraient adopté un comportement contraire à la confiance entre Etats en omettant – comme le soutiennent les recourantes – des informations à l’appui de leur requête, formulée pour les besoins de la procédure pénale en cours […]. En particulier, le séquestre, dans l’Etat requérant, des biens visés par la mesure dans l’Etat requis ne constitue pas une condition à l’octroi de l’entraide. En outre, ainsi que le relève le MPC, les différents refus de séquestres dans la procédure ukrainienne étaient motivés par le manque d’éléments de preuve, ce que ne contestent pas les recourantes, éléments que la demande d’entraide a précisément pour but d’amener; l’Etat requérant a d’ailleurs confirmé la nécessité des séquestres requis pour les besoins de sa procédure, en date du 14 février 2022, soit postérieurement à la plupart des rejets (act. 1.1, p. 7 et act. 7, p. 3). Cela étant, en date du 23 juin 2022, le séquestre des valeurs patrimoniales déposées sur les comptes bancaires des recourantes auprès de la banque C. a été prononcé par une autorité judiciaire ukrainienne dans le cadre de la procédure pénale pendante dans l’Etat requérant (v. supra Faits, let. H). S’agissant du jugement civil du 30 septembre 2021, comme le précisent elles-mêmes les recourantes, il se référait à une autre procédure pénale que celle à la base de la demande d’entraide et il n’appartient pas à l’Etat requis de se déterminer sur l’identité des faits à la base de ces deux</w:t>
      </w:r>
    </w:p>
    <w:p>
      <w:r>
        <w:t>- 9 -</w:t>
      </w:r>
    </w:p>
    <w:p>
      <w:r>
        <w:t>procédures (act. 1, p. 22). Quant aux autres arguments des recourantes, relatifs aux liens économiques entre les différentes sociétés impliquées ou à l’examen par le Service des douanes ukrainien, il en va de questions relatives à l’interprétation différente des faits de la demande d’entraide et/ou l’analyse de moyens de preuve, qui, de jurisprudence constante (v. supra consid. 2.1 in fine), échappent au juge de l’entraide. Il en va de même des reproches concernant le prononcé de séquestre du 23 juin 2022, dépourvus de pertinence, en tant qu’ils relèvent du fond. Les recourantes ont d’ailleurs annoncé avoir recouru contre ce prononcé devant les autorités de l’Etat requérant en date du 1er juillet 2022.</w:t>
      </w:r>
    </w:p>
    <w:p>
      <w:r>
        <w:rPr>
          <w:b/>
        </w:rPr>
        <w:t>E. 2.4</w:t>
      </w:r>
    </w:p>
    <w:p>
      <w:r>
        <w:t>Les recourantes ne faisant, au surplus, valoir aucun argument qui justifierait de s’en écarter, il y a lieu de s’en tenir à de la présentation des faits de la demande d’entraide, pour l’examen de la double incrimination. Le MPC a considéré que les faits présentés par l’Etat requérant pouvaient, prima facie, être qualifiés d’escroquerie fiscale (art. 3 al. 3 let. a EIMP) et d’infraction préalable au blanchiment d’argent (art. 305bis ch. 1bis et ch. 1 CP, cum art. 14 al. 4 DPA; act. 1.1 et 7).</w:t>
      </w:r>
    </w:p>
    <w:p>
      <w:r>
        <w:rPr>
          <w:b/>
        </w:rPr>
        <w:t>E. 2.5</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2.6.1</w:t>
      </w:r>
    </w:p>
    <w:p>
      <w:r>
        <w:t>À teneur de l’art. 2 let. a CEEJ, applicable à défaut de ratification par la</w:t>
      </w:r>
    </w:p>
    <w:p>
      <w:r>
        <w:t>- 10 -</w:t>
      </w:r>
    </w:p>
    <w:p>
      <w:r>
        <w:t>Suisse du premier Protocole additionnel à la CEEJ du 17 mars 1978 (qui étend la coopération à l’entraide judiciaire en matière fiscale et interdit aux parties contractantes de se prévaloir de la faculté de refuser l’entraide en cas d’infractions fiscales, les assimilant à des infractions ordinaires), l’entraide judiciaire fiscale peut être refusée si la demande se rapporte à des infractions considérées par la Partie requise comme des infractions fiscales (v. arrêt du Tribunal pénal fédéral RR.2020.29 du 16 juin 2021 consid. 4.1.1 et réf. citée). Selon l’art. 3 al. 3 let. a EIMP, l’entraide judiciaire doit être accordée, au sens des art. 63 ss EIMP, si la procédure vise une escroquerie en matière fiscale. Cette disposition couvre tant la fiscalité directe qu’indirecte. L’escroquerie en matière fiscale, au sens de l’EIMP, est définie à l’art. 24 al. 1 OEIMP, qui renvoie à l’art. 14 al. 2 de la loi fédérale sur le droit pénal administratif du 22 mars 1974 (DPA; RS 313.0). 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 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 L’escroquerie fiscale au sens de l’EIMP est plus large que la fraude fiscale des art. 186 de la loi fédérale du 14 décembre 1990 sur l’impôt fédéral direct (LIFD; RS 642.11) ou 59 de la loi fédérale sur l’harmonisation des impôts directs des cantons et des communes (LHID; 642.14), puisque qu’elle n’exige pas l’usage de titres faux, falsifiés ou inexacts quant à leur contenu (v. ATF 125 II 250 consid. 3a). Il convient de s’en tenir à la définition de l’escroquerie selon l’art. 146 CP et à la jurisprudence qui s’y rapporte (ATF 115 Ib 68 consid. 3 p. 71-76; arrêt du 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La remise à l’autorité fiscale de titres inexacts ou incomplets constitue toujours une escroquerie fiscale en raison de la foi particulière qui est attachée à ce type de documents. L’escroquerie fiscale, ouvrant la voie à l’entraide judiciaire, est toujours réalisée lorsque le contribuable a remis aux autorités fiscales des titres inexacts ou incomplets au sens de l’art. 110 al. 4 CP (ATF 125 II 250 consid. 3c p. 253).</w:t>
      </w:r>
    </w:p>
    <w:p>
      <w:r>
        <w:rPr>
          <w:b/>
        </w:rPr>
        <w:t>E. 2.6.2</w:t>
      </w:r>
    </w:p>
    <w:p>
      <w:r>
        <w:t>Lorsqu’une demande est présentée pour la poursuite d’une escroquerie fiscale, la Suisse en tant qu’Etat requis déroge à la règle selon laquelle l’autorité d’exécution n’a pas à se déterminer sur la réalité des faits. Sans</w:t>
      </w:r>
    </w:p>
    <w:p>
      <w:r>
        <w:t>- 11 -</w:t>
      </w:r>
    </w:p>
    <w:p>
      <w:r>
        <w:t>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réf. citées; TPF 2008 128 consid. 5.5).</w:t>
      </w:r>
    </w:p>
    <w:p>
      <w:r>
        <w:rPr>
          <w:b/>
        </w:rPr>
        <w:t>E. 2.6.3</w:t>
      </w:r>
    </w:p>
    <w:p>
      <w:r>
        <w:t>Le Tribunal fédéral a admis l’escroquerie fiscale, au sens de l’art. 14 al. 2 DPA, dans le cas d’un acheteur et d’un vendeur s’étant entendus sur le prix établi dans de fausses factures, lequel était inférieur à celui effectivement payé, afin de réduire le bénéfice du vendeur (ZIMMERMANN, La coopération judiciaire internationale en matière pénale, 5e éd. 2019, n. 649, p. 702-704, et arrêts cités, notamment ATF 114 Ib 56 consid. 3b; 111 Ib 242 consid. 5). Il a également retenu l’application de l’art. 14 al. 2 DPA dans le cas d’utilisation de fausses factures établies de concert entre plusieurs sociétés successives afin de réduire l’impôt douanier dû (ZIMMERMANN, op. cit. , n. 649, p. 704-705; arrêt du Tribunal fédéral 1A.35/2002 du 18 juin 2006 consid. 6.2; v. également arrêt du Tribunal pénal fédéral RR.2009.7 du 3 avril 2009 consid. 4.4. et 4.5).</w:t>
      </w:r>
    </w:p>
    <w:p>
      <w:r>
        <w:rPr>
          <w:b/>
        </w:rPr>
        <w:t>E. 2.7</w:t>
      </w:r>
    </w:p>
    <w:p>
      <w:r>
        <w:t>Selon l’art. 305bis ch. 1 CP (blanchiment d’argent),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Sont considérés comme des délits fiscaux qualifiés au sens de l’art. 305bis ch. 1bis CP les infractions aux art. 186 LIFD et 59 LHID, lorsque les impôts soustraits par période fiscale se montent à plus de CHF 300'000.</w:t>
      </w:r>
    </w:p>
    <w:p>
      <w:r>
        <w:rPr>
          <w:b/>
        </w:rPr>
        <w:t>E. 2.8.1</w:t>
      </w:r>
    </w:p>
    <w:p>
      <w:r>
        <w:t>En l’espèce, il ressort, en particulier, de la demande d’entraide que le matériel électronique acheté à une société chinoise en Chine par des sociétés du groupe E. LLC, aurait été revendu en Ukraine à des sociétés ukrainiennes du groupe, par le biais des deux recourantes, non domiciliées en Ukraine, à des prix inférieurs à la valeur marchande, afin de minimiser les taxes à l’importation. La première recourante, A. Ltd, aurait été utilisée pour procéder, au nom de la seconde, B. LLP, à de fausses déclarations douanières, sous-estimant manifestement soit la quantité soit la valeur douanière des marchandises chinoises importées. Cela a, en particulier, permis à deux sociétés ukrainiennes, G. LLC et H. LLC, destinataires des marchandises, qu’elles revendaient – à leur prix réel – en Ukraine, de soustraire au fisc de l’Etat requérant, des sommes chiffrées respectivement à plus d’UAH 5.1 millions et d’USD 2.75 millions de TVA (v. supra Faits, let.</w:t>
      </w:r>
    </w:p>
    <w:p>
      <w:r>
        <w:t>- 12 -</w:t>
      </w:r>
    </w:p>
    <w:p>
      <w:r>
        <w:t>A).</w:t>
      </w:r>
    </w:p>
    <w:p>
      <w:r>
        <w:rPr>
          <w:b/>
        </w:rPr>
        <w:t>E. 2.8.2</w:t>
      </w:r>
    </w:p>
    <w:p>
      <w:r>
        <w:t>Transposés en droit suisse, ces agissements sont susceptibles de réaliser, prima facie, les éléments constitutifs d’une escroquerie fiscale, selon l’art. 14 al. 2 DPA, comme l’a, à juste titre, retenu le MPC (act. 1.1, p. 10 et s.). Constitue, en effet, un comportement astucieux le fait de présenter de fausses déclarations en douane, plus particulièrement des factures mensongères, mentionnant des prix sous-estimés, dans le cadre de vente de marchandises entre des sociétés apparemment indépendantes, mais en réalité liées économiquement entre elles, de sorte que l’absence de lien apparent empêche d’identifier que le prix mentionné ne correspond pas au prix réel (v. supra consid. 2.6.3). Il semblerait également que la recourante A. Ltd, ayant fonctionné comme intermédiaire entre la société chinoise et les sociétés ukrainiennes, puisse revêtir la forme d’une société de domicile. Selon la jurisprudence,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(v. ATF 139 II 404 consid. 9.4 et la référence citée). Une déclaration en douane peut, en outre, constituer un titre (UNSELD, Internationale Rechtshilfe im Steuerrecht: Akzessorische Rechtshilfe, Auslieferung und Vollstreckungshilfe bei Fiskaldelikten, 2011, pag. 91 et s. et jurisprudence citée). Quant aux montants des contributions concernées, ils dépassent largement le seuil des CHF 15'000.-- (v. supra consid. 2.6.1).</w:t>
      </w:r>
    </w:p>
    <w:p>
      <w:r>
        <w:rPr>
          <w:b/>
        </w:rPr>
        <w:t>E. 2.8.3</w:t>
      </w:r>
    </w:p>
    <w:p>
      <w:r>
        <w:t>En tant qu’ils dépassent également largement les CHF 300'000.--, lesdits montants, obtenus avec le concours de tiers, en l’occurrence les recourantes, peuvent également être considérés comme particulièrement importants, au sens de l’art. 14 al. 4 DPA (v. CAPUS/BERETTA, Droit pénal administratif, Bâle, 2021, n. 314, p., 91), disposition constitutive de crime, selon le droit suisse (art. 10 al. 2 CP), de sorte que c’est à bon droit que le MPC a retenu que les éléments constitutifs de l’infraction de blanchiment d’argent pouvaient également, à première vue, entrer en ligne de compte, en l’espèce.</w:t>
      </w:r>
    </w:p>
    <w:p>
      <w:r>
        <w:rPr>
          <w:b/>
        </w:rPr>
        <w:t>E. 2.9</w:t>
      </w:r>
    </w:p>
    <w:p>
      <w:r>
        <w:t>Partant, la condition de la double incrimination est ainsi réalisée, sans qu’il soit nécessaire d’examiner les autres infractions retenues par le MPC (v. supra consid. 2.5).</w:t>
      </w:r>
    </w:p>
    <w:p>
      <w:r>
        <w:rPr>
          <w:b/>
        </w:rPr>
        <w:t>E. 2.10</w:t>
      </w:r>
    </w:p>
    <w:p>
      <w:r>
        <w:t>Le grief est infondé.</w:t>
      </w:r>
    </w:p>
    <w:p>
      <w:r>
        <w:rPr>
          <w:b/>
        </w:rPr>
        <w:t>E. 3</w:t>
      </w:r>
    </w:p>
    <w:p>
      <w:r>
        <w:t>Au titre d’une violation du principe de la proportionnalité, les recourantes</w:t>
      </w:r>
    </w:p>
    <w:p>
      <w:r>
        <w:t>- 13 -</w:t>
      </w:r>
    </w:p>
    <w:p>
      <w:r>
        <w:t>renvoyant à l’argumentation développée au grief précédent, s’agissant de l’insuffisance de soupçons à l’appui de la demande, estiment que la demande d’entraide équivaut à une recherche indéterminée de moyens de preuve (act. 1, p. 24).</w:t>
      </w:r>
    </w:p>
    <w:p>
      <w:r>
        <w:rPr>
          <w:b/>
        </w:rPr>
        <w:t>E. 3.1.1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w:t>
      </w:r>
    </w:p>
    <w:p>
      <w:r>
        <w:t>- 14 -</w:t>
      </w:r>
    </w:p>
    <w:p>
      <w:r>
        <w:t>s.).</w:t>
      </w:r>
    </w:p>
    <w:p>
      <w:r>
        <w:rPr>
          <w:b/>
        </w:rPr>
        <w:t>E. 3.1.2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3.2</w:t>
      </w:r>
    </w:p>
    <w:p>
      <w:r>
        <w:t>En l’espèce, les recourantes, se limitant à renvoyer à l’argumentation, précédemment écartée, pour conclure que la demande d’entraide équivaut à une recherche indéterminée de preuves, ne remettent pas en cause la motivation de la décision entreprise, s’agissant de l’utilité potentielle de la documentation bancaire, pour la procédure dans l’Etat requérant, laquelle est manifestement donnée. Les agissements soupçonnés, commis au préjudice de l’Etat requérant, constitutifs, en droit suisse, d’escroquerie fiscale et de blanchiment d’argent, impliquent la participation des sociétés recourantes (v. supra consid. 2.8 et 2.9), dont la documentation bancaire est visée par la remise. Ainsi que cela ressort de la demande d’entraide, de son complément et de la décision de séquestre du 23 juin 2022, le soupçon existe qu’une partie des sommes transférées par les diverses sociétés du groupe E. LLC, dont H. LLC, par le biais de la société offshore A. Ltd, à B. LLP ne correspondent pas à celles des livraisons en douane et soient d’origine illégale (v. supra Faits, let. A; act. 7 et 13.1). En outre, ainsi que l’a retenu le MPC dans les prononcés entrepris, il ressort de la documentation</w:t>
      </w:r>
    </w:p>
    <w:p>
      <w:r>
        <w:t>- 15 -</w:t>
      </w:r>
    </w:p>
    <w:p>
      <w:r>
        <w:t>bancaire objet desdits prononcés que D. est l’ayant droit économique des avoirs déposés sur les relations bancaires aux noms des recourantes (act. 1.1, p. 13).</w:t>
      </w:r>
    </w:p>
    <w:p>
      <w:r>
        <w:rPr>
          <w:b/>
        </w:rPr>
        <w:t>E. 3.3</w:t>
      </w:r>
    </w:p>
    <w:p>
      <w:r>
        <w:t>Partant, il existe un lien de connexité suffisant entre les informations à transmettre et l’état de fait de l’enquête pénale ukrainienne pour admettre la transmission de la documentation bancaire relative aux quatre relations des recourantes auprès de la banque C. et de la banque I., telle que répertoriée dans les dispositifs desdits prononcés entrepris. Le principe de l’utilité potentielle permet à l’autorité requise d’aller au-delà de la demande afin, notamment, d’éviter le dépôt de nouvelles requêtes,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(v. supra consid. 3.1.2). Il n’appartient ni à l’autorité d’exécution ni à l’autorité de recours de se substituer à l’autorité requérante dans l’appréciation de leur utilité effective pour l’enquête étrangère.</w:t>
      </w:r>
    </w:p>
    <w:p>
      <w:r>
        <w:rPr>
          <w:b/>
        </w:rPr>
        <w:t>E. 3.4.1</w:t>
      </w:r>
    </w:p>
    <w:p>
      <w:r>
        <w:t>Le maintien des séquestres prononcés sur l’entier des valeurs patrimoniales déposées sur les relations bancaires ouvertes aux noms des recourantes près la banque C., confirmé par l’Etat requérant en date du 14 février 2022 (act. 7.5), puis dans la décision de séquestre du 23 juin 2022 (act. 13.1), est également conforme au droit. Aux termes de l'art. 33a OEIMP, les objets et valeurs dont la remise à l'Etat requérant est subordonnée à une décision définitive et exécutoire de ce dernier (art. 74a al. 3 EIMP) demeurent, en principe, saisis jusqu'à réception de ladite décision ou jusqu'à ce que l'Etat requérant ait fait savoir à l'autorité d'exécution compétente qu'une telle décision ne pouvait plus être rendue selon son propre droit, notamment en raison de la prescription (v. TPF 2007 124 consid. 8).</w:t>
      </w:r>
    </w:p>
    <w:p>
      <w:r>
        <w:rPr>
          <w:b/>
        </w:rPr>
        <w:t>E. 3.4.2</w:t>
      </w:r>
    </w:p>
    <w:p>
      <w:r>
        <w:t>Quant à la conclusion subsidiaire, formulée au stade de la réplique, selon laquelle l’assiette du séquestre devrait être réduite à hauteur de CHF 51'400.--, montant correspondant à la somme des taxes éludées retenue dans un jugement ukrainien de refus de séquestre du 15 juin 2022, elle doit être écartée, dans la mesure de sa recevabilité (act. 14, p. 6). Ce montant correspondrait uniquement à la TVA, en lien avec l’importation de matériel électronique (smartphones) par l’une des sociétés ukrainiennes, G. LLC, pour une période plus restreinte que celle visée par l’enquête</w:t>
      </w:r>
    </w:p>
    <w:p>
      <w:r>
        <w:t>- 16 -</w:t>
      </w:r>
    </w:p>
    <w:p>
      <w:r>
        <w:t>ukrainienne (act. 14.1 et act. 13.1).</w:t>
      </w:r>
    </w:p>
    <w:p>
      <w:r>
        <w:rPr>
          <w:b/>
        </w:rPr>
        <w:t>E. 3.5</w:t>
      </w:r>
    </w:p>
    <w:p>
      <w:r>
        <w:t>Ce second grief doit également être écarté.</w:t>
      </w:r>
    </w:p>
    <w:p>
      <w:r>
        <w:rPr>
          <w:b/>
        </w:rPr>
        <w:t>E. 4</w:t>
      </w:r>
    </w:p>
    <w:p>
      <w:r>
        <w:t>Mal fondé, les recours sont rejetés.</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aux art. 5 et 8 al. 3 let. b du règlement sur les frais, émoluments, dépens et indemnités de la procédure pénale fédérale (RFPPF; RS 173.713.162; v. art. 63 al. 5 PA) est fixé à CHF 9'000.--, montant couvert par les avances de frais déjà versées, et mis à la charge solidaire des recourantes. La caisse du Tribunal pénal fédéral leur restituera le solde de CHF 3'000.--.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