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RR.2022.92 vom 8. September 2022</w:t>
      </w:r>
    </w:p>
    <w:p>
      <w:r>
        <w:t>Bundesstrafgericht, 2022-09-08, FR</w:t>
      </w:r>
    </w:p>
    <w:p>
      <w:r>
        <w:rPr>
          <w:b/>
        </w:rPr>
        <w:t xml:space="preserve">Quelle: </w:t>
      </w:r>
      <w:r>
        <w:t>https://mcp.opencaselaw.ch/entscheid/bstger_RR.2022.92</w:t>
      </w:r>
    </w:p>
    <w:p>
      <w:r>
        <w:t>FR: TPF RR.2022.92 du 8 septembre 2022</w:t>
      </w:r>
    </w:p>
    <w:p>
      <w:r>
        <w:t>IT: TPF RR.2022.92 del 8 settembre 2022</w:t>
      </w:r>
    </w:p>
    <w:p>
      <w:pPr>
        <w:pStyle w:val="Heading2"/>
      </w:pPr>
      <w:r>
        <w:t>Regeste</w:t>
      </w:r>
    </w:p>
    <w:p>
      <w:r>
        <w:t>Entraide judiciaire internationale en matière pénale au Portugal; décision d'extradition (art. 55 EIMP); assistance judiciaire gratuite (art. 65 PA)</w:t>
      </w:r>
    </w:p>
    <w:p>
      <w:pPr>
        <w:pStyle w:val="Heading2"/>
      </w:pPr>
      <w:r>
        <w:t>Erwägungen</w:t>
      </w:r>
    </w:p>
    <w:p>
      <w:r>
        <w:rPr>
          <w:b/>
        </w:rPr>
        <w:t>E. 1.1</w:t>
      </w:r>
    </w:p>
    <w:p>
      <w:r>
        <w:t>Les procédures d'extradition entre la Confédération suisse et le Portugal sont prioritairement régies par la Convention européenne d'extradition du 13 décembre 1957 (CEExtr; RS 0.353.1), entrée en vigueur pour la Suisse le 20 mars 1967 et pour le Portugal le 25 avril 1990, et par les quatre Protocoles additionnels à la CEExtr (RS 0.353.11, RS 0.353.12, RS 0.353.13 et RS.353.14), entrés en vigueur tant pour la Suisse que le Portugal. S'appliquent également à l'extradition entre la Suisse et le Portugal, les art. 59 ss de la Convention d'application de l'Accord de Schengen du 14 juin 1985 (CAAS; n° CELEX 42000A0922[02]; Journal officiel de l'Union européenne [ci-après: JO] L 239 du 22 septembre 2000, p. 19-62), de même</w:t>
      </w:r>
    </w:p>
    <w:p>
      <w:r>
        <w:t>- 4 -</w:t>
      </w:r>
    </w:p>
    <w:p>
      <w:r>
        <w:t>que les art. 26 ss de la décision 2007/533/JAI du Conseil du 12 juin 2007 sur l'établissement, le fonctionnement et l'utilisation du Système d'information Schengen de deuxième génération (SIS II; JO L 205 du 7 août 2007, p. 63- 84)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 Il convient encore d'appliquer les dispositions de la Convention relative à l'extradition entre les Etats membres de l'Union européenne du 27 septembre 1996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(CELEX-Nr. 32003D0169; JO L 67 du 12 mars 2003, p. 25 s.), sans modifier les dispositions plus étendues en vigueur conformément aux accords bilatéraux ou multilatéraux (art. 59 al. 2 CAAS; art. 1 al. 1 CE-UE).</w:t>
      </w:r>
    </w:p>
    <w:p>
      <w:r>
        <w:rPr>
          <w:b/>
        </w:rPr>
        <w:t>E. 2</w:t>
      </w:r>
    </w:p>
    <w:p>
      <w:r>
        <w:t>Pour le surplus, la loi fédérale sur l'entraide internationale en matière pénale (EIMP; RS 351.1) et son ordonnance d'exécution (OEIMP; RS 351.11) règlent les questions qui ne sont pas régies, explicitement ou implicitement, par les dispositions conventionnelles (ATF 130 II 337 consid. 1; 128 II 355 consid. 1 et la jurisprudence citée [concernant la CEExtr]). Le droit interne s'applique, en outre, lorsqu'il est plus favorable à l'octroi de l'extradition que le droit international (principe « de faveur »; ATF 145 IV 294 consid. 2.1; 142 IV 250 consid. 3; 140 IV 123 consid. 2; 37 IV 33consid. 2.2.2; 136 IV 82 consid. 3.1; arrêt du Tribunal fédéral 1C_196/2021 du 28 mai 2021 consid. 3.1). Le respect des droits fondamentaux est réservé (ATF 135 IV 212 consid. 2.3; 123 II 595 consid. 7c; TPF 2008 24 consid. 1.1).</w:t>
      </w:r>
    </w:p>
    <w:p>
      <w:r>
        <w:rPr>
          <w:b/>
        </w:rPr>
        <w:t>E. 2.1</w:t>
      </w:r>
    </w:p>
    <w:p>
      <w:r>
        <w:t>La décision par laquelle l'OFJ accorde l'extradition (art. 55 al. 1 EIMP) peut faire l'objet d'un recours devant la Cour des plaintes du Tribunal pénal fédéral (art. 55 al. 3 et 25 al. 1 EIMP).</w:t>
      </w:r>
    </w:p>
    <w:p>
      <w:r>
        <w:rPr>
          <w:b/>
        </w:rPr>
        <w:t>E. 2.2</w:t>
      </w:r>
    </w:p>
    <w:p>
      <w:r>
        <w:t>Adressé par la personne visée par l’extradition (art. 21 al. 3 EIMP; ATF 122 II 373 consid. 1b; 118 Ib 269 consid. 2d) dans le délai de trente</w:t>
      </w:r>
    </w:p>
    <w:p>
      <w:r>
        <w:t>- 5 -</w:t>
      </w:r>
    </w:p>
    <w:p>
      <w:r>
        <w:t>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formellement recevable.</w:t>
      </w:r>
    </w:p>
    <w:p>
      <w:r>
        <w:rPr>
          <w:b/>
        </w:rPr>
        <w:t>E. 3</w:t>
      </w:r>
    </w:p>
    <w:p>
      <w:r>
        <w:t>Le recourant requiert que sa peine soit exécutée en Suisse. Une demande formelle aurait été déposée en ce sens auprès des autorités portugaises compétentes. Il souligne que dans un cas précédent la Suisse aurait donné droit à une telle demande. Enfin, d’après le recourant, il convient à tout le moins de suspendre la procédure d’extradition jusqu’à droit connu sur le sort réservé à la requête déposée au Portugal.</w:t>
      </w:r>
    </w:p>
    <w:p>
      <w:r>
        <w:rPr>
          <w:b/>
        </w:rPr>
        <w:t>E. 3.1</w:t>
      </w:r>
    </w:p>
    <w:p>
      <w:r>
        <w:t>Conformément à l’art. 37 EIMP, la Suisse peut refuser l’extradition lorsqu’elle est en mesure d’assumer la poursuite de l’infraction ou l’exécution du jugement rendu dans l’Etat requérant et que le reclassement social de la personne poursuivie le justifie (al. 1). Sous l’angle de cette disposition, le refus d’extrader, qui est potestatif (« Kannvorschrift ») et exceptionnel, est soumis à deux conditions cumulatives. Ainsi, les autorités helvétiques doivent être en mesure d’assumer la poursuite – ce qui présuppose leur compétence pour connaître de l’infraction – ou l’exécution du jugement et le refus doit se justifier pour des raisons en lien avec le reclassement social de l’individu. L’assentiment de l’Etat requérant l’extradition est, de surcroît, nécessaire (ATF 129 II 100 consid. 3.1; 120 Ib 120 consid. 3c; 117 Ib 210 consid. 3; ZIMMERMANN, La coopération judiciaire internationale en matière pénale, 5e éd. 2019, n° 709, p. 782). Il est de jurisprudence constante que la disposition susmentionnée n’est pas applicable à l’égard d’un Etat qui, comme le Portugal, est lié avec la Suisse par un traité bilatéral ou multilatéral fondant une obligation d’extrader, à l’image de la CEExtr (arrêt du Tribunal fédéral 1C_214/2019 du 5 juin 2019 consid. 2.6). Une solution contraire heurterait en effet la primauté du droit international, la CEExtr ne contenant pas de règle analogue à l’art. 37 EIMP (ATF 129 II 100 consid. 3.1; 122 II 485 consid. 3; arrêts du Tribunal fédéral 1A.58/2006 du 12 avril 2006 consid. 6.1; 1A.233/2004 du 8 novembre 2004 consid. 3.3; arrêts du Tribunal pénal fédéral RR.2022.90 du 5 juillet 2022 consid. 5.1.1; RR.2019.337 du 9 mars 2020 consid. 4; RR.2019.94 du 4 juillet 2019 consid. 5). La Suisse ne peut donc refuser l’extradition pour des motifs tendant au reclassement de la personne poursuivie (ATF 122 II 485 consid. 3).</w:t>
      </w:r>
    </w:p>
    <w:p>
      <w:r>
        <w:rPr>
          <w:b/>
        </w:rPr>
        <w:t>E. 3.2</w:t>
      </w:r>
    </w:p>
    <w:p>
      <w:r>
        <w:t>En l’espèce, supposé applicable, l’art. 37 al. 1 EIMP ne serait d’aucun secours au recourant. La Suisse doit en effet, selon cette disposition, être en</w:t>
      </w:r>
    </w:p>
    <w:p>
      <w:r>
        <w:t>- 6 -</w:t>
      </w:r>
    </w:p>
    <w:p>
      <w:r>
        <w:t>mesure d’assumer la poursuite de l’infraction ou l’exécution du jugement, mais également recevoir une demande expresse de l’Etat requérant pour ainsi procéder à sa place. Or en l’espèce tel n’est pas le cas, puisque les autorités portugaises, en optant pour l’extradition, ont clairement fait savoir qu’elles n’entendaient pas se dessaisir de la procédure. Ce dernier constat vaut également pour l'art. 94 al. 1 EIMP. Cette disposition présuppose elle aussi que l'Etat de condamnation saisisse la Suisse d'une demande visant à l'exécution de son jugement définitif dans ce dernier pays. Ce qui n'est nullement le cas en l'espèce (arrêt du Tribunal pénal fédéral RR.2015.1 du 12 mars 2105 consid. 4.1).</w:t>
      </w:r>
    </w:p>
    <w:p>
      <w:r>
        <w:rPr>
          <w:b/>
        </w:rPr>
        <w:t>E. 3.3</w:t>
      </w:r>
    </w:p>
    <w:p>
      <w:r>
        <w:t>Le grief du recourant selon lequel la décision entreprise violerait son droit d’être entendu du fait qu’elle ne se prononce pas sur la question de l’exécution du jugement par l’Etat requis est également mal fondé. En effet, 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V 409 consid. 5.3.4;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5A_87/2012 du 26 août 2013 consid. 3.1; 2C_23/2009 du 25 mai 2009 consid. 3.1). En revanche, un déni de justice formel, proscrit par</w:t>
      </w:r>
    </w:p>
    <w:p>
      <w:r>
        <w:t>- 7 -</w:t>
      </w:r>
    </w:p>
    <w:p>
      <w:r>
        <w:t>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3.4</w:t>
      </w:r>
    </w:p>
    <w:p>
      <w:r>
        <w:t>En l’espèce, la décision de clôture de l’OFJ du 2 mai 2022 fait expressément état des divers griefs soulevés par le recourant – dont celui en lien avec le souhait du recourant d’exécuter en Suisse la peine privative de liberté portugaise (act. 2, p. 2). L’OFJ a clairement retenu dans la décision de clôture entreprise – et après analyse du cas d’espèce – que les conditions d’une possible délégation de l’exécution de la condamnation portugaise au sens de l’art. 68 CAAS, respectivement au sens de l’art. 2 du Protocole additionnel du 17 décembre 1997 à la Convention sur le transfèrement des personnes condamnées (PA CT; RS 0.343.1) ne paraissent manifestement pas remplies dans le cas présent. Il est par conséquent tout à fait compréhensible que l’autorité précédente n’ait pas approfondi plus avant ce grief, notamment puisqu’il est manifestement mal fondé, comme examiné supra (consid. 3.3). L’approche retenue par l’autorité précitée ne prête ainsi pas flanc à la critique, étant souligné, par surabondance, qu’elle n’avait pas à se prononcer spécifiquement sur chacun des griefs soulevés dès le moment où elle a retenu qu’ils n’étaient pas de nature à modifier le principe de l’entraide ou son étendue (supra consid. 3.3). Le recourant a par ailleurs été en mesure d’attaquer efficacement le prononcé querellé puisqu’il a soulevé, auprès de la Cour de céans, des griefs précis et argumentés. Force est donc de constater que la motivation de la décision entreprise est conforme aux exigences en la matière. Cela scelle le sort de ce grief.</w:t>
      </w:r>
    </w:p>
    <w:p>
      <w:r>
        <w:rPr>
          <w:b/>
        </w:rPr>
        <w:t>E. 4</w:t>
      </w:r>
    </w:p>
    <w:p>
      <w:r>
        <w:t>Le recourant s’oppose à son extradition afin qu’il puisse préserver son droit à la vie de famille au sens des art. 8 CEDH et 17 du Pacte international relatif aux droits civils et politiques, conclu à New York le 16 décembre 1966 (Pacte ONU II; RS 0.103.2).</w:t>
      </w:r>
    </w:p>
    <w:p>
      <w:r>
        <w:rPr>
          <w:b/>
        </w:rPr>
        <w:t>E. 4.1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w:t>
      </w:r>
    </w:p>
    <w:p>
      <w:r>
        <w:t>- 8 -</w:t>
      </w:r>
    </w:p>
    <w:p>
      <w:r>
        <w:t>violation de l'art. 8 CEDH, si elle a pour conséquence de détruire les liens familiaux (ATF 129 II 100 consid. 3.3 et 3.5; 123 II 279 consid. 2d). Néanmoins,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4.2</w:t>
      </w:r>
    </w:p>
    <w:p>
      <w:r>
        <w:t>En l'occurrence, le recourant né le 23 février 1971 se prévaut que son extradition l’empêchera d’entretenir des liens familiaux, spécifiquement avec sa concubine, qui est domiciliée en Suisse, avec laquelle il est en couple depuis 2007 et vit en concubinage. Les circonstances du cas d'espèce présentées ici ne sauraient être assimilées à celles tout à fait exceptionnelles au sens de la jurisprudence précitée. De plus, elles ne constituent pas des éléments suffisants conduisant à une violation de l'art. 8 CEDH. Il s’ensuit que ce grief est mal fondé.</w:t>
      </w:r>
    </w:p>
    <w:p>
      <w:r>
        <w:rPr>
          <w:b/>
        </w:rPr>
        <w:t>E. 5</w:t>
      </w:r>
    </w:p>
    <w:p>
      <w:r>
        <w:t>Par conséquent, le recours, mal fondé, doit être rejeté.</w:t>
      </w:r>
    </w:p>
    <w:p>
      <w:r>
        <w:rPr>
          <w:b/>
        </w:rPr>
        <w:t>E. 6</w:t>
      </w:r>
    </w:p>
    <w:p>
      <w:r>
        <w:t>Le recourant sollicite l'octroi de l'assistance judiciaire pour la présente procédure de recours et à ce que Me Fontana soit désignée en qualité de défenseur d’office.</w:t>
      </w:r>
    </w:p>
    <w:p>
      <w:r>
        <w:rPr>
          <w:b/>
        </w:rPr>
        <w:t>E. 6.1</w:t>
      </w:r>
    </w:p>
    <w:p>
      <w:r>
        <w:t>La personne poursuivie peut se faire assister d'un mandataire; si elle ne peut ou ne veut y pourvoir et que la sauvegarde de ses intérêts l'exige, un</w:t>
      </w:r>
    </w:p>
    <w:p>
      <w:r>
        <w:t>- 9 -</w:t>
      </w:r>
    </w:p>
    <w:p>
      <w:r>
        <w:t>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6.2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 Dans cette constellation, il n'apparaît pas que la désignation d'un avocat d'office fut nécessaire pour la protection de ses droits, de sorte qu'une telle désignation est également rejetée.</w:t>
      </w:r>
    </w:p>
    <w:p>
      <w:r>
        <w:rPr>
          <w:b/>
        </w:rPr>
        <w:t>E. 7</w:t>
      </w:r>
    </w:p>
    <w:p>
      <w:r>
        <w:t>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5 PA) sera fixé à CHF 500.--, compte tenu de la situation financière de l'intéressé (v. arrêt du Tribunal pénal fédéral RR.2020.172 du 28 août 2020 consid. 8.2).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