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RR.2022.85 vom 15. Februar 2023</w:t>
      </w:r>
    </w:p>
    <w:p>
      <w:r>
        <w:t>Bundesstrafgericht, 2023-02-15, FR</w:t>
      </w:r>
    </w:p>
    <w:p>
      <w:r>
        <w:rPr>
          <w:b/>
        </w:rPr>
        <w:t xml:space="preserve">Quelle: </w:t>
      </w:r>
      <w:r>
        <w:t>https://mcp.opencaselaw.ch/entscheid/bstger_RR.2022.85</w:t>
      </w:r>
    </w:p>
    <w:p>
      <w:r>
        <w:t>FR: TPF RR.2022.85 du 15 février 2023</w:t>
      </w:r>
    </w:p>
    <w:p>
      <w:r>
        <w:t>IT: TPF RR.2022.85 del 15 febbraio 2023</w:t>
      </w:r>
    </w:p>
    <w:p>
      <w:pPr>
        <w:pStyle w:val="Heading2"/>
      </w:pPr>
      <w:r>
        <w:t>Regeste</w:t>
      </w:r>
    </w:p>
    <w:p>
      <w:r>
        <w:t>Entraide judiciaire internationale en matière pénale aux Pays-Bas; remise de moyens de preuve (art. 74 EIMP)</w:t>
      </w:r>
    </w:p>
    <w:p>
      <w:pPr>
        <w:pStyle w:val="Heading2"/>
      </w:pPr>
      <w:r>
        <w:t>Erwägungen</w:t>
      </w:r>
    </w:p>
    <w:p>
      <w:r>
        <w:rPr>
          <w:b/>
        </w:rPr>
        <w:t>E. 1.1</w:t>
      </w:r>
    </w:p>
    <w:p>
      <w:r>
        <w:t>L’entraide judiciaire entre les Pays-Bas et la Confédération suisse est prioritairement régie par la Convention européenne d'entraide judiciaire en matière pénale (CEEJ; RS 0.351.1), entrée en vigueur pour la Suisse le 20 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[texte disponible sur le site de la Confédération suisse sous la rubrique « Recueil de textes</w:t>
      </w:r>
    </w:p>
    <w:p>
      <w:r>
        <w:t>- 5 -</w:t>
      </w:r>
    </w:p>
    <w:p>
      <w:r>
        <w:t>juridiques sur les accords sectoriels avec l'UE », onglet « 8.1. Annexe A » in https://www.fedlex.admin.ch/fr/sector-specific-agreements/EU-acts-register /8/8.1]) s'appliquent également à l'entraide pénale entre la Suisse et les Pays-Bas (v. arrêt du Tribunal pénal fédéral RR.2017.135 du 24 octobre 2019 consid. 1.3). S'agissant d'une demande d'entraide présentée notamment dans le cadre de la répression du blanchiment d'argent, entre également en considération la Convention relative au blanchiment, au dépistage, à la saisie et à la confiscation des produits du crime (CBI; RS 0.311.53), entrée en vigueur le 1er septembre 1993 tant pour la Suisse que pour les Pays-Bas, ainsi que les art. 14 et 43 ss de la Convention des Nations Unies contre la corruption, entrée en vigueur pour les Pays-Bas le 30 novembre 2006 et pour la Suisse le 24 octobre 2009 (UNCAC; RS 0.311.56 applicable au blanchiment d’argent indépendamment de la nature de l’infraction préalable). Pour le surplus, l’EIMP et son ordonnance d'exécution du 24 février 1982 (OEIMP; RS 351.11) règlent les questions qui ne sont pas régies, explicitement ou implicitement, par les traités (ATF 130 II 337 consid. 1; 128 II 355 consid. 1 et la jurisprudence citée). Le droit interne s’applique en outre lorsqu'il est plus favorable à l'entraide (ATF 142 IV 250 consid. 3; 140 IV 123 consid. 2; 137 IV 33 consid. 2.2.2). L'application de la norme la plus favorable (principe dit « de faveur ») doit avoir lieu dans le respect des droits fondamentaux (ATF 135 IV 212 consid. 2.3).</w:t>
      </w:r>
    </w:p>
    <w:p>
      <w:r>
        <w:rPr>
          <w:b/>
        </w:rPr>
        <w:t>E. 1.2</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w:t>
      </w:r>
    </w:p>
    <w:p>
      <w:r>
        <w:rPr>
          <w:b/>
        </w:rPr>
        <w:t>E. 1.3</w:t>
      </w:r>
    </w:p>
    <w:p>
      <w:r>
        <w:t>L’économie de procédure peut commander à l'autorité saisie de plusieurs requêtes individuelles de les joindre ou, inversement, à l'autorité saisie soit d'une requête commune de plusieurs administrés (consorts), soit de prétentions étrangères entre elles par un même administré, de les diviser; le droit de procédure régit les conditions d'admission de la jonction et de la disjonction des causes (BOVAY, Procédure administrative, 2e éd. 2015, p. 218 s.); bien qu'elle ne soit pas prévue par la loi fédérale du 20 décembre 1968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 + RR.2008.225-230 du 20 novembre 2008 consid. 1.2).</w:t>
      </w:r>
    </w:p>
    <w:p>
      <w:r>
        <w:rPr>
          <w:b/>
        </w:rPr>
        <w:t>E. 1.4</w:t>
      </w:r>
    </w:p>
    <w:p>
      <w:r>
        <w:t>En l’occurrence, les recours interjetés par A., B. et C. N.V. ont tous trois le même objet, soit l’annulation de la décision de clôture du 22 avril 2022 et les</w:t>
      </w:r>
    </w:p>
    <w:p>
      <w:r>
        <w:t>- 6 -</w:t>
      </w:r>
    </w:p>
    <w:p>
      <w:r>
        <w:t>trois recourants sont représentés par les mêmes conseils, il s’impose partant de joindre les recours.</w:t>
      </w:r>
    </w:p>
    <w:p>
      <w:r>
        <w:rPr>
          <w:b/>
        </w:rPr>
        <w:t>E. 1.5</w:t>
      </w:r>
    </w:p>
    <w:p>
      <w:r>
        <w:t>Formé dans les 30 jours à compter de la notification des décisions de clôture, le recours a été déposé en temps utile (art. 80k EIMP).</w:t>
      </w:r>
    </w:p>
    <w:p>
      <w:r>
        <w:rPr>
          <w:b/>
        </w:rPr>
        <w:t>E. 1.6</w:t>
      </w:r>
    </w:p>
    <w:p>
      <w:r>
        <w:t>Selon l'art. 80h let. b EIMP, la qualité pour recourir contre une mesure d'entraide judiciaire est reconnue à celui qui est personnellement et directement touché par une mesure d’entraide et a un intérêt digne de protection à ce qu’elle soit annulée ou modifiée. Précisant cette disposition, l’art. 9a let. a OEIMP reconnaît au titulaire – personne physique ou morale – d’un compte bancaire la qualité pour recourir contre la remise à l’Etat requérant d’informations relatives à ce compte (v. ATF 137 IV 134 consid. 5; 118 Ib 547 consid. 1d). Par ailleurs, tel est également le cas lors d’une perquisition du propriétaire ou du locataire (art. 9a let. b OEIMP) et en cas de mesures concernant un véhicule à moteur, le détenteur (art. 9a let. c OEIMP). Les recourants sont tous titulaires des comptes à propos desquels de la documentation doit être remise. Par ailleurs, A. et B. ont tous deux fait l’objet de la perquisition de leur domicile. En outre, A. est le détenteur des véhicules et bateau séquestrés. Partant, les trois recourants disposent incontestablement de la qualité pour agir.</w:t>
      </w:r>
    </w:p>
    <w:p>
      <w:r>
        <w:rPr>
          <w:b/>
        </w:rPr>
        <w:t>E. 1.7</w:t>
      </w:r>
    </w:p>
    <w:p>
      <w:r>
        <w:t>Il y a lieu d’entrer en matière.</w:t>
      </w:r>
    </w:p>
    <w:p>
      <w:r>
        <w:rPr>
          <w:b/>
        </w:rPr>
        <w:t>E. 2</w:t>
      </w:r>
    </w:p>
    <w:p>
      <w:r>
        <w:t>Dans un premier grief, les recourants se plaignent d’une violation de leur droit d’être entendus. Selon eux, l’autorité d’exécution aurait violé ce droit à plusieurs reprises puisqu’elle se serait limitée à leur donner l’occasion de se déterminer en ne prenant toutefois pas en compte tous les arguments qu’ils ont formulés. La violation serait tout particulièrement flagrante dans le défaut de l’autorité d’exécution de prendre en considération le témoignage de EE. (act. 1.7), et ce, malgré le fait qu’ils auraient, à maintes reprises, attiré l’attention de l’autorité d’exécution à ce sujet.</w:t>
      </w:r>
    </w:p>
    <w:p>
      <w:r>
        <w:rPr>
          <w:b/>
        </w:rPr>
        <w:t>E. 2.1</w:t>
      </w:r>
    </w:p>
    <w:p>
      <w:r>
        <w:t>La jurisprudence a tiré du droit d'être entendu (art. 29 al. 2 Cst.) l'obligation pour l'autorité de motiver ses décisions. La motivation a pour but de permettre au justiciable de comprendre suffisamment la décision pour être en mesure de faire valoir ses droits. L'autorité doit aussi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w:t>
      </w:r>
    </w:p>
    <w:p>
      <w:r>
        <w:t>- 7 -</w:t>
      </w:r>
    </w:p>
    <w:p>
      <w:r>
        <w:t>des circonstances particulières du cas. L'autorité n'est pas tenue de discuter de manière détaillée tous les faits, moyens de preuve et griefs soulevés par les parties (ATF 134 I 83 consid. 4.1; 125 II 369 consid. 2c; 124 II 146 consid. 2a; 112 Ia 107 consid. 2b; arrêt du Tribunal pénal fédéral RR.2017.42-46 du 22 août 2017 consid. 3.19). Elle peut se limiter à l'examen des questions décisives pour l'issue du litige; il suffit que le justiciable puisse apprécier correctement la portée de la décision et l'attaquer à bon escient (ATF 143 III 65 consid. 5.3; 141 IV 249 consid. 1.3.1;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 Enfin, une violation du droit d'être entendu commise par l'autorité d'exécution est en principe guérissable dans le cadre de la procédure de recours auprès de la Cour de céans (arrêt du Tribunal fédéral 1C_168/2016 du 22 avril 2016 consid. 1.3.2; TPF 2008 172 consid. 2.3).</w:t>
      </w:r>
    </w:p>
    <w:p>
      <w:r>
        <w:rPr>
          <w:b/>
        </w:rPr>
        <w:t>E. 2.2</w:t>
      </w:r>
    </w:p>
    <w:p>
      <w:r>
        <w:t>A la lecture des griefs formulés, la Cour de céans constate que les recourants ont amplement pu se rendre compte de la portée de la décision entreprise qu’ils ont attaquée en connaissance de cause sur la base de développements précis et argumentés. Les développements et subsomptions juridiques contenus dans les décisions d’entrée en matière du 11 juin 2021 (act 1.2) et, surtout, dans la décision de clôture du 22 avril 2022 (act. 1.1), apparaissent à cette Cour comme étant suffisamment motivés tant à l’échelon des faits que des dispositions légales applicables. En s’inspirant, comme elle doit le faire, d’une lecture fidèle et objective de la requête d’entraide et de ses annexes, l’autorité d’exécution a conclu que, si les faits y étant décrits avaient été commis en Suisse, ils auraient pu tomber sous le coup de l’infraction qualifiée de la loi fédérale sur les jeux d’argent (art. 130 al. 1 et 2 LJAr) et de blanchiment d’argent (art.305bis CP). De plus, de jurisprudence constante, il n’incombe pas au juge de l’entraide de se substituer au juge du fond dans l’interprétation des faits. Il incombera aux recourants, le cas échéant, de produire le témoignage de EE. par devant les juges du fond. Dans ce sens, sous l’angle de la motivation exigée par le droit d’être entendu, on ne peut pas tenir rigueur à l’autorité précédente de n’avoir pas examiné une question non décisive, voire relevant du domaine des autorités étrangères compétentes au fond. Pour le surplus, les autres critiques adressées à l’égard de l’autorité précédente concernant le droit</w:t>
      </w:r>
    </w:p>
    <w:p>
      <w:r>
        <w:t>- 8 -</w:t>
      </w:r>
    </w:p>
    <w:p>
      <w:r>
        <w:t>d’être entendu des recourants ont un tel caractère indéterminé et vague qu’elles empêchent la Cour de céans de se prononcer à ce propos.</w:t>
      </w:r>
    </w:p>
    <w:p>
      <w:r>
        <w:rPr>
          <w:b/>
        </w:rPr>
        <w:t>E. 2.3</w:t>
      </w:r>
    </w:p>
    <w:p>
      <w:r>
        <w:t>Au vu de ce qui précède, mal fondé, le grief tiré de la violation du droit d’être entendu tombe manifestement à faux.</w:t>
      </w:r>
    </w:p>
    <w:p>
      <w:r>
        <w:rPr>
          <w:b/>
        </w:rPr>
        <w:t>E. 3</w:t>
      </w:r>
    </w:p>
    <w:p>
      <w:r>
        <w:t>Les recourants dénoncent ensuite le caractère abusif de la demande d’entraide hollandaise. Pour eux, les autorités pénales de ce pays agiraient par une « procédure-représailles ». Ils soutiennent que les autorités néerlandaises auraient déjà tenté de violer leurs accords avec les sociétés impliquées en entamant une procédure fiscale à leur encontre. Ce ne serait qu’après avoir été déboutée auprès de la Cour d’appel d’Arnhem- Leeuwarden le 17 novembre 2020 que l’autorité requérante a décidé de les poursuivre pénalement. D’autre part, la procédure pénale aurait également été entamée à la suite d’une procédure fiscale. Finalement, selon les recourants, l’autorité requérante viole le principe de la bonne foi en présentant une requête pour des faits qui avaient été tolérés, voire même autorisés par les autorités requérantes.</w:t>
      </w:r>
    </w:p>
    <w:p>
      <w:r>
        <w:rPr>
          <w:b/>
        </w:rPr>
        <w:t>E. 3.1</w:t>
      </w:r>
    </w:p>
    <w:p>
      <w:r>
        <w:t>Selon le principe de la bonne foi entre Etats, il n'appartient pas à l'Etat requis de remettre en cause les déclarations de l'Etat requérant, sous réserve d'éventuelles contradictions manifestes (ATF 121 I 181 consid. 2c/aa). Il convient de rappeler qu'en application des principes de la confiance et de la bonne foi internationale régissant les relations entre États, il est généralement admis que l'État requis se fie aux explications fournies par l'Etat requérant. La bonne foi doit également être respectée par les Etats dans l'accomplissement de leurs devoirs internationaux (ATF 121 I 181 consid. 2c et référence citée). Un examen de la validité de la documentation fournie par l'Etat requérant peut exceptionnellement avoir lieu dans les cas où la violation flagrante du droit procédural étranger fait apparaître la demande d'entraide comme un abus de droit; ce qui permettrait, de surcroît, de douter de la conformité de la procédure étrangère aux droits fondamentaux de la défense (arrêt du Tribunal fédéral 1A.15/2002 du 5 mars 2002 consid. 3.2).</w:t>
      </w:r>
    </w:p>
    <w:p>
      <w:r>
        <w:rPr>
          <w:b/>
        </w:rPr>
        <w:t>E. 3.2</w:t>
      </w:r>
    </w:p>
    <w:p>
      <w:r>
        <w:t>Lorsque l'Etat requérant est lié à la Suisse par un traité d'entraide ou d'extradition, et qu'il est aussi partie à la CEDH et au Pacte ONU II, le contrôle du respect des droits fondamentaux est présumé: l'Etat requérant est censé respecter les traités. En décidant de l'octroi de la coopération, la Suisse tient compte de la faculté de la personne poursuivie de faire valoir, devant les autorités de l'Etat requérant, puis, le cas échéant, devant les instances supranationales, les garanties matérielles offertes par la CEDH et le Pacte ONU II (v. arrêts du Tribunal pénal fédéral RR.2010.194-195 du 7</w:t>
      </w:r>
    </w:p>
    <w:p>
      <w:r>
        <w:t>- 9 -</w:t>
      </w:r>
    </w:p>
    <w:p>
      <w:r>
        <w:t>mars 2011 consid. 3.3; RR.2007.161 du 14 février 2008 consid. 5.5), sans que cela ne dispense pour autant l'autorité suisse d'examiner concrètement si la personne concernée jouit effectivement de ces garanties dans l'Etat requérant (ZIMMERMANN, La coopération judiciaire internationale en matière pénale, 5e éd. 2019, n° 224 p. 235).</w:t>
      </w:r>
    </w:p>
    <w:p>
      <w:r>
        <w:rPr>
          <w:b/>
        </w:rPr>
        <w:t>E. 3.3</w:t>
      </w:r>
    </w:p>
    <w:p>
      <w:r>
        <w:t>Conformément à la jurisprudence, le respect des droits fondamentaux est présumé avec un Etat comme les Pays-Bas, lesquels sont parties tant à la CEDH qu'au Pacte ONU II, de sorte que les personnes poursuivies dans cet Etat ont la possibilité d'invoquer leurs droits devant les autorités néerlandaises puis devant les autorités supranationales, en l'occurrence la Cour européenne des Droits de l'Homme. La jurisprudence exige également que le risque de violation des droits de procédure soit concret. Dans le cas d’espèce, les recourants ne font nullement cette démonstration. Ils invoquent certes, d’une part, des comportements ambigus de l’autorité néerlandaise des jeux de hasard (ci-après: KAS) qui montreraient que les sociétés mentionnées dans la requête (notamment I. Ltd et J. Ltd) étaient au bénéfice d’une tolérance délivrée par la KAS, ce qui serait également confirmé par le témoignage de EE. (act. 1.7). Ce faisant, les recourants fondent leurs argumentations sur de pures allégations dépourvues de fondement. La déclaration de EE. démontre tout au plus que l’administration a montré une certaine ouverture vis-à-vis des fournisseurs qui coopéraient lors de la révision de la loi (act. 1.7). Rien n’indique au dossier que pendant la période critique (de 2007 à mars 2014), les recourants et leurs sociétés étaient au bénéfice d’une autorisation formelle d’exploitation de jeux en ligne. Le même raisonnement vaut mutatis mutandis pour les allégations selon lesquelles la procédure pénale ferait suite à l’échec d’une procédure fiscale en Hollande. Par leurs assertions, les recourants se contentent d'exposer leur interprétation des faits et de la procédure étrangère, sans pour autant démontrer concrètement qu'ils seraient exposés à une violation crasse de leurs droits. Ils doivent dès lors être renvoyés à défendre leurs thèses et arguments devant le juge du fond, dès lors que les griefs soulevés sous ce chapitre ont trait à l’interprétation de la procédure étrangère. Ces éléments ne sont ainsi nullement de nature à renverser la présomption selon laquelle les Pays-Bas sont réputés respecter les traités internationaux, la CEDH et le Pacte ONU II ainsi que le principe de la bonne foi auquel ils sont tenus.</w:t>
      </w:r>
    </w:p>
    <w:p>
      <w:r>
        <w:rPr>
          <w:b/>
        </w:rPr>
        <w:t>E. 3.4</w:t>
      </w:r>
    </w:p>
    <w:p>
      <w:r>
        <w:t>Il s'ensuit que ce grief également doit être rejeté.</w:t>
      </w:r>
    </w:p>
    <w:p>
      <w:r>
        <w:rPr>
          <w:b/>
        </w:rPr>
        <w:t>E. 4</w:t>
      </w:r>
    </w:p>
    <w:p>
      <w:r>
        <w:t>Les recourants contestent enfin la réalisation de la condition de la double incrimination.</w:t>
      </w:r>
    </w:p>
    <w:p>
      <w:r>
        <w:rPr>
          <w:b/>
        </w:rPr>
        <w:t>E. 4.1</w:t>
      </w:r>
    </w:p>
    <w:p>
      <w:r>
        <w:t>Au sujet de la condition de la double incrimination, l’état de faits décrit dans</w:t>
      </w:r>
    </w:p>
    <w:p>
      <w:r>
        <w:t>- 10 -</w:t>
      </w:r>
    </w:p>
    <w:p>
      <w:r>
        <w:t>les requêtes d’entraide néerlandaise à l’origine de la présente procédure est en tous points identique à celui qui a donné lieu à l’arrêt RR.2021.226-228 du 5 janvier 2022 de la Cour de céans rendu sur recours d’autres personnes (arrêt publié sur le site du Tribunal pénal fédéral). Par économie de procédure, il peut être renvoyé au considérant 4 de la décision précitée dans lequel la question a été traitée et la condition de la double incrimination jugée comme étant réalisée. Il n’y a pas lieu de remettre en question la réalisation de cette condition, d’autant moins que l’appréciation de la Cour de céans a été confirmée par arrêt du Tribunal fédéral 1C_30/2022 du 9 février 2022 consid. 1.2. auquel les recourants peuvent être renvoyés pour ce qui concerne la réalisation de la condition précitée qui est, au demeurant, réalisée.</w:t>
      </w:r>
    </w:p>
    <w:p>
      <w:r>
        <w:rPr>
          <w:b/>
        </w:rPr>
        <w:t>E. 4.2</w:t>
      </w:r>
    </w:p>
    <w:p>
      <w:r>
        <w:t>Ce qui précède scelle le sort de ce dernier grief.</w:t>
      </w:r>
    </w:p>
    <w:p>
      <w:r>
        <w:rPr>
          <w:b/>
        </w:rPr>
        <w:t>E. 5</w:t>
      </w:r>
    </w:p>
    <w:p>
      <w:r>
        <w:t>En règle générale, les frais de procédure sont mis à charge du recourant qui succombe (art. 63 al. 1 PA). L'émolument judiciaire, calculé conformément aux art. 5 et 8 al. 3 du règlement sur les frais, émoluments, dépens et indemnités de la procédure pénale fédérale (RFPPF; RS 173.713.162; v. art. 63 al. 4bis PA) sera fixé à CHF 6'000.--, réputé couvert par l’avance de frais acquittée, et mis à la charge solidaire des recourants. Le solde par CHF 2'000.-- leur sera restitué par la Caisse du Tribunal pénal fédéral.</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