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RR.2022.83 vom 27. Juli 2022</w:t>
      </w:r>
    </w:p>
    <w:p>
      <w:r>
        <w:t>Bundesstrafgericht, 2022-07-27, DE</w:t>
      </w:r>
    </w:p>
    <w:p>
      <w:r>
        <w:rPr>
          <w:b/>
        </w:rPr>
        <w:t xml:space="preserve">Quelle: </w:t>
      </w:r>
      <w:r>
        <w:t>https://mcp.opencaselaw.ch/entscheid/bstger_RR.2022.83</w:t>
      </w:r>
    </w:p>
    <w:p>
      <w:r>
        <w:t>FR: TPF RR.2022.83 du 27 juillet 2022</w:t>
      </w:r>
    </w:p>
    <w:p>
      <w:r>
        <w:t>IT: TPF RR.2022.83 del 27 luglio 2022</w:t>
      </w:r>
    </w:p>
    <w:p>
      <w:pPr>
        <w:pStyle w:val="Heading2"/>
      </w:pPr>
      <w:r>
        <w:t>Regeste</w:t>
      </w:r>
    </w:p>
    <w:p>
      <w:r>
        <w:t>Auslieferung an die Niederlande;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den Niederlanden sind primär das Europäische Auslieferungsübereinkommen vom 13. Dezem- ber 1957 (EAUe; SR 0.353.1) sowie die drei hierzu ergangenen Zusatzpro- tokolle vom 15. Oktober 1975 (ZPI EAUe; SR 0.353.11), vom 17. März 1978 (ZPII EAUe; SR 0.353.12) und vom 10. November 2010 (ZPIII EAUe; SR 0.353.13)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 agreements/EU-acts-register/8/8.1) i.V.m. dem Beschluss des Rates 2007/533/JI vom 12. Juni 2007 über die Einrichtung, den Betrieb und die Nutzung des Schengener Informationssystems der zweiten Generation (SIS II), namentlich Art. 26–31 (CELEX-Nr. 32007D0533; Abl. L 205 vom 7. Au- gust 2007, S. 63–84; abrufbar unter «Rechtssammlung zu den sektoriellen Abkommen mit der EU»,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Anhang B) eine Weiterentwicklung des Schengen-Besitzstands darstellen (d.h. der Art. 2, 6, 8, 9 und 13 des EU-Auslieferungsübereinkommens sowie dessen Art. 1, soweit er für die anderen Artikel relevant ist). Die zwischen den Ver- tragsparteien geltenden weitergehenden Bestimmungen aufgrund bilateraler</w:t>
      </w:r>
    </w:p>
    <w:p>
      <w:r>
        <w:t>- 6 -</w:t>
      </w:r>
    </w:p>
    <w:p>
      <w:r>
        <w:t>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Der angefochtene Entscheid wurde am 19. April 2022 dem Beschwerdeführer zugestellt. Die am 19. Mai 2022 zu Handen der Beschwerdekammer der schweizerischen Post überge- bene Beschwerde erweist sich als rechtzeitig. Auf die im Übrigen – als Laien- eingabe – formgerecht erhobene Beschwerde ist einzutreten.</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w:t>
      </w:r>
    </w:p>
    <w:p>
      <w:r>
        <w:t>- 7 -</w:t>
      </w:r>
    </w:p>
    <w:p>
      <w:r>
        <w:t>RR.2016.1 vom 4. April 2016 E. 3; GLESS/SCHAFFNER, Basler Kommentar, 2015, Art. 25 IRSG N. 45; vgl. BGE 132 II 81 E. 1.4 zur altrechtlichen Ver- waltungsgerichtsbeschwerde betreffend internationale Rechtshilfe in Straf- sachen).</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147 IV 409 E. 5.3.4; 141 IV 249 E. 1.3.1; 139 IV 179 E. 2.2). Es genügt, wenn die Behörde wenigstens kurz die Überlegungen nennt, von denen sie sich leiten liess und auf welche sich ihr Entscheid stützt (Urteil des Bundesgerichts 1A.59/2004 vom 16. Juli 2004 E. 5.2 m.w.H.).</w:t>
      </w:r>
    </w:p>
    <w:p>
      <w:r>
        <w:rPr>
          <w:b/>
        </w:rPr>
        <w:t>E. 4.1</w:t>
      </w:r>
    </w:p>
    <w:p>
      <w:r>
        <w:t>Der Beschwerdeführer rügt eine Verletzung des Art. 21 Abs. 1 IRSG. Er macht geltend, er habe während des Auslieferungsverfahrens keinen Rechtsbeistand gestellt bekommen.</w:t>
      </w:r>
    </w:p>
    <w:p>
      <w:r>
        <w:rPr>
          <w:b/>
        </w:rPr>
        <w:t>E. 4.2</w:t>
      </w:r>
    </w:p>
    <w:p>
      <w:r>
        <w:t>Gemäss Art. 21 Abs. 1 IRSG kann der Verfolgte einen Rechtsbeistand be- stellen (Satz 1). Sieht er davon ab oder ist er dazu nicht in der Lage, so wird ein Beistand amtlich ernannt, wenn es die Wahrung seiner Interessen erfor- dert (Satz 2). Mit anderen Worten erlaubt Satz 1 von Art. 21 Abs. 1 IRSG dem Verfolgten die Bestellung eines Rechtsbeistands im Rechtshilfeverfah- ren. Satz 2 umfasst sowohl die (amtlich ernannte) unentgeltliche Verbeistän- dung als auch die amtliche Verbeiständung im Sinne der notwendigen Ver- beiständung, d.h. der Vertretung ohne Gesuch und unter Umständen sogar gegen den Willen des Betroffenen (TPF 2018 27 E. 7.2.1).</w:t>
      </w:r>
    </w:p>
    <w:p>
      <w:r>
        <w:rPr>
          <w:b/>
        </w:rPr>
        <w:t>E. 4.3</w:t>
      </w:r>
    </w:p>
    <w:p>
      <w:r>
        <w:t>Nach der Rechtsprechung zu Art. 21 Abs. 1 IRSG ist die Notwendigkeit eines Beistands im Auslieferungsverfahren regelmässig zu bejahen, sofern der Verfolgte wegen besonderer Umstände seine Interessen nicht selber wahr- nehmen kann (Urteil des Bundesgerichts 1A.181/2004 vom 15. Oktober 2004 E. 5.2; TPF 2018 27 E. 7.2.2).</w:t>
      </w:r>
    </w:p>
    <w:p>
      <w:r>
        <w:rPr>
          <w:b/>
        </w:rPr>
        <w:t>E. 4.4</w:t>
      </w:r>
    </w:p>
    <w:p>
      <w:r>
        <w:t>Der Beschwerdeführer erklärte anlässlich seiner Einvernahme vom 23. März 2022, dass er einen Anwalt zugewiesen bekommen möchte. Inwiefern die zu Protokoll gegebene Erklärung des Beschwerdeführers nicht als Antrag auf unentgeltliche Rechtspflege zu verstehen gewesen wäre, vermag der Be- schwerdegegner nicht überzeugend darzulegen. Besondere Umstände, auf- grund derer der Beschwerdeführer seine Interessen im Auslieferungsverfah-</w:t>
      </w:r>
    </w:p>
    <w:p>
      <w:r>
        <w:t>- 8 -</w:t>
      </w:r>
    </w:p>
    <w:p>
      <w:r>
        <w:t>ren ausnahmsweise selber wahrnehmen könnte, werden vom Beschwerde- gegner nicht geltend gemacht und sind auch nicht ersichtlich. Der Beschwer- deführer befindet sich in Auslieferungshaft, was seine Möglichkeiten, selbst für die Wahrung seiner Rechte zu sorgen, einschränkt. Für die Einvernah- men wurde eine Übersetzerin beigezogen, weshalb davon auszugehen ist, dass der Beschwerdeführer die Verfahrenssprache nicht ausreichend be- herrscht. Der Beschwerdeführer verfügt, soweit ersichtlich, über keine eige- nen Rechtskenntnisse. Die Notwendigkeit eines Beistands im Auslieferungs- verfahren ist daher zu bejahen.</w:t>
      </w:r>
    </w:p>
    <w:p>
      <w:r>
        <w:t>Nichts daran ändert das Vorbringen des Beschwerdegegners, er habe den Beschwerdeführer mit Schreiben vom 24. März 2022 informiert, dass der Be- schwerdeführer selbst einen Rechtsanwalt auszuwählen und zu bevollmäch- tigen habe und dass dieser Antrag auf unentgeltliche Verbeiständung stellen könne, wobei der Beschwerdegegner in der Folge weder eine Anwaltsvoll- macht noch einen Antrag auf unentgeltliche Rechtsverbeiständung erhalten habe. Vorliegend war der Beschwerdeführer offenbar nicht in der Lage, selbst einen Rechtsbeistand zu beauftragen. Die gesuchstellende Person hat betreffend die Person des unentgeltlichen Rechtsbeistands ein Vor- schlagsrecht (vgl. KAYSER/ALTMANN, in: Auer/Müller/Schindler [Hrsg.], VwVG, Bundesgesetz über das Verwaltungsverfahren, Kommentar, 2. Aufl. 2019, Art. 65 VwVG N. 71). Es erschliesst sich nicht, weshalb der Beschwer- degegner den Beschwerdeführer nach seinem Antrag auf unentgeltliche Rechtspflege anlässlich der Einvernahme vom 23. März 2022 nicht (noch einmal) eingeladen hat, betreffend die Person des unentgeltlichen Rechts- beistands einen Vorschlag zu machen, und dem Beschwerdeführer stattdes- sen das Schreiben vom 24. März 2022 zukommen liess. Macht die gesuch- stellende Person von ihrem Vorschlagsrecht keinen Gebrauch, liegt es an der Behörde, eine Anwältin oder einen Anwalt als unentgeltlichen Rechtsbei- stand zu wählen. Die Behörde kann aus zureichenden Gründen auch eine andere als die vorgeschlagene Person als unentgeltlichen Rechtsbeistand bezeichnen (vgl. KAYSER/ALTMANN, a.a.O., Art. 65 VwVG N. 71).</w:t>
      </w:r>
    </w:p>
    <w:p>
      <w:r>
        <w:t>Nach dem Gesagten ist die Rüge begründet.</w:t>
      </w:r>
    </w:p>
    <w:p>
      <w:r>
        <w:rPr>
          <w:b/>
        </w:rPr>
        <w:t>E. 4.5</w:t>
      </w:r>
    </w:p>
    <w:p>
      <w:r>
        <w:t>Eine Heilung des Verfahrensmangels im Beschwerdeverfahren kommt vor- liegend nicht in Frage (vgl. dazu unveröffentlichtes Urteil des Bundesgerichts 1A.258/1994 vom 3. April 1995 E. 2; vgl. auch unveröffentlichtes Urteil des Bundesgerichts 1A.53/1989 vom 18. April 1989 E. 2b). Der Beschwerdefüh- rer war zum Zeitpunkt der Beschwerdeerhebung nicht verbeiständet und äusserte sich in der Beschwerdereplik nicht zur Sache. Die Parteirechte des</w:t>
      </w:r>
    </w:p>
    <w:p>
      <w:r>
        <w:t>- 9 -</w:t>
      </w:r>
    </w:p>
    <w:p>
      <w:r>
        <w:t>Beschwerdeführers bleiben nur gewahrt, wenn er seinen Standpunkt in der Sache zunächst vor dem Beschwerdegegner vortragen kann.</w:t>
      </w:r>
    </w:p>
    <w:p>
      <w:r>
        <w:rPr>
          <w:b/>
        </w:rPr>
        <w:t>E. 4.6</w:t>
      </w:r>
    </w:p>
    <w:p>
      <w:r>
        <w:t>Nach dem Gesagten ist die Beschwerde diesbezüglich gutzuheissen und der Auslieferungsentscheid vom 12. April 2022 aufzuheben. Die Sache ist auf- grund eines formellen Mangels an den Beschwerdegegner zurückzuweisen. Der Beschwerdegegner hat zunächst einen Beistand für das Auslieferungs- verfahren zu ernennen, wobei eine Verbeiständung durch Rechtsanwalt Ronny Scruzzi naheliegt. Sodann hat der Beschwerdegegner dem betreffen- den Rechtsbeistand unter Ansetzung einer Frist Gelegenheit zu geben, dem Beschwerdegegner eine schriftliche Stellungnahme zum Auslieferungsersu- chen einzureichen. Danach hat der Beschwerdegegner einen neuen Ent- scheid über das Auslieferungsersuchen zu treffen, gegen welchen wiederum die Beschwerde an die Beschwerdekammer zulässig ist.</w:t>
      </w:r>
    </w:p>
    <w:p>
      <w:r>
        <w:rPr>
          <w:b/>
        </w:rPr>
        <w:t>E. 5.1</w:t>
      </w:r>
    </w:p>
    <w:p>
      <w:r>
        <w:t>Mit Eingabe vom 2. Juni 2022 beantragt der Beschwerdeführer seine Entlas- sung aus der Auslieferungshaft und mit Beschwerdereplik vom 6. Juli 2022 hält er daran fest. Die Beschwerdekammer könne und müsse direkt im vor- liegenden Verfahren über die Haftentlassung entscheiden, da der Grund für die beantragte Haftentlassung unmittelbar in den hier gerügten Verfahrens- mängeln liege und das Haftentlassungsgesuch insofern – analog zum Ent- scheid über die Haftentlassung bei Abweisung des Auslieferungsersuchens – ebenfalls rein akzessorischer Natur sei.</w:t>
      </w:r>
    </w:p>
    <w:p>
      <w:r>
        <w:rPr>
          <w:b/>
        </w:rPr>
        <w:t>E. 5.2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rPr>
          <w:b/>
        </w:rPr>
        <w:t>E. 5.3</w:t>
      </w:r>
    </w:p>
    <w:p>
      <w:r>
        <w:t>Die vorliegende Aufhebung des Auslieferungsentscheids hat nicht die Ableh- nung der Auslieferung zur Folge. Entsprechend kommt Art. 56 Abs. 2 IRSG</w:t>
      </w:r>
    </w:p>
    <w:p>
      <w:r>
        <w:t>- 10 -</w:t>
      </w:r>
    </w:p>
    <w:p>
      <w:r>
        <w:t>nicht zur Anwendung. Die Voraussetzung, um in erster Instanz über das Haftentlassungsgesuch zu befinden, liegt nicht vor.</w:t>
      </w:r>
    </w:p>
    <w:p>
      <w:r>
        <w:rPr>
          <w:b/>
        </w:rPr>
        <w:t>E. 5.4</w:t>
      </w:r>
    </w:p>
    <w:p>
      <w:r>
        <w:t>Nach dem Gesagten ist auf das akzessorische Haftentlassungsgesuch des Beschwerdeführers nicht einzutreten.</w:t>
      </w:r>
    </w:p>
    <w:p>
      <w:r>
        <w:rPr>
          <w:b/>
        </w:rPr>
        <w:t>E. 6.1</w:t>
      </w:r>
    </w:p>
    <w:p>
      <w:r>
        <w:t>Dem Beschwerdeführer wurde mit Zwischenverfügung vom 15. Juni 2022 die unentgeltliche Rechtspflege gewährt. Demnach ist für das vorliegende Beschwerdeverfahren keine Gerichtsgebühr zu erheben.</w:t>
      </w:r>
    </w:p>
    <w:p>
      <w:r>
        <w:rPr>
          <w:b/>
        </w:rPr>
        <w:t>E. 6.2</w:t>
      </w:r>
    </w:p>
    <w:p>
      <w:r>
        <w:t>Soweit der Beschwerdeführer obsiegt, ist ihm eine Entschädigung für ihm erwachsene notwendige und verhältnismässig hohe Kosten zuzusprechen (vgl. Art. 64 Abs. 1 VwVG). Rechtsanwalt Ronny Scruzzi macht für die Ver- tretung des Beschwerdeführers im vorliegenden Verfahren Aufwand und Spesen in der Höhe von insgesamt rund Fr. 3'705.-- geltend (act. 12.1). Um sicherzustellen, dass der öffentlich-rechtliche Anspruch des Rechtsanwalts Ronny Scruzzi gegen den Staat gedeckt ist, ist die Parteientschädigung die- sem direkt zuzusprechen (vgl. für das Verfahren vor Bundesgericht GEISER, Basler Kommentar, 3. Aufl. 2018, Art. 64 BGG N. 38 in fine). Soweit der Be- schwerdeführer unterliegt (akzessorisches Haftentlassungsgesuch), ist die Entschädigung auf die Bundesstrafgerichtskasse zu nehmen (vgl. Art. 65 Abs. 2 VwVG; vgl. auch zum Ganzen Urteil des Bundesverwaltungsgerichts A-3403/2013 vom 17. November 2014 E. 5.3 m.w.H.).</w:t>
      </w:r>
    </w:p>
    <w:p>
      <w:r>
        <w:t>Der geltend gemachte und in der Honorarnote nach Positionen beschriebene Aufwand erscheint angemessen (vgl. Art. 64 Abs. 5 VwVG; Art. 73 StBOG und Art. 12 Abs. 1 des Reglements des Bundesstrafgerichts vom 31. August 2010 über die Kosten, Gebühren und Entschädigungen in Bundesstrafver- fahren [BStKR; SR 173.713.162]). Davon gehen Fr. 3'000.-- zu Lasten des Beschwerdegegners und Fr. 705.-- zu Lasten der Bundesstrafgerichtskasse. Gelangt der Beschwerdeführer später zu hinreichenden Mitteln, ist er ver- pflichtet, die von der Bundesstrafgerichtskasse ausgerichtete Entschädigung dieser zurückzubezahlen (vgl. Art. 65 Abs. 4 VwVG).</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