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RR.2022.79 vom 22. Mai 2023</w:t>
      </w:r>
    </w:p>
    <w:p>
      <w:r>
        <w:t>Bundesstrafgericht, 2023-05-22, DE</w:t>
      </w:r>
    </w:p>
    <w:p>
      <w:r>
        <w:rPr>
          <w:b/>
        </w:rPr>
        <w:t xml:space="preserve">Quelle: </w:t>
      </w:r>
      <w:r>
        <w:t>https://mcp.opencaselaw.ch/entscheid/bstger_RR.2022.79</w:t>
      </w:r>
    </w:p>
    <w:p>
      <w:r>
        <w:t>FR: TPF RR.2022.79 du 22 mai 2023</w:t>
      </w:r>
    </w:p>
    <w:p>
      <w:r>
        <w:t>IT: TPF RR.2022.79 del 22 maggio 2023</w:t>
      </w:r>
    </w:p>
    <w:p>
      <w:pPr>
        <w:pStyle w:val="Heading2"/>
      </w:pPr>
      <w:r>
        <w:t>Regeste</w:t>
      </w:r>
    </w:p>
    <w:p>
      <w:r>
        <w:t>Internationale Rechtshilfe in Strafsachen an die Slowakei; Herausgabe von Beweismitteln (Art. 74 IRSG); unentgeltliche Rechtspflege (Art. 65 VwVG)</w:t>
      </w:r>
    </w:p>
    <w:p>
      <w:pPr>
        <w:pStyle w:val="Heading2"/>
      </w:pPr>
      <w:r>
        <w:t>Erwägungen</w:t>
      </w:r>
    </w:p>
    <w:p>
      <w:r>
        <w:rPr>
          <w:b/>
        </w:rPr>
        <w:t>E. 1.1</w:t>
      </w:r>
    </w:p>
    <w:p>
      <w:r>
        <w:t>Für die Rechtshilfe zwischen der Schweiz und der Slowakei sind in erster Linie das Europäische Übereinkommen vom 20. April 1959 über die Rechts- hilfe in Strafsachen (EUeR; SR 0.351.1) und das zu diesem Übereinkommen am 8. November 2001 ergangene zweite Zusatzprotokoll (2. ZP; SR 0.351.12) massgebend. Ausserdem gelangen die Bestimmungen der Art. 48 ff. des Übereinkommens vom 19. Juni 1990 zur Durchführung des Übereinkommens von Schengen vom 14. Juni 1985 (Schengener Durchfüh- rungsübereinkommen [SDÜ]; CELEXNr. 42000A0922(02); Abl. L 239 vom 22. September 2000, S. 19–62; Text nicht publiziert in der SR, jedoch abruf- bar auf der Website der Schweizerischen Eidgenossenschaft unter «Rechts- sammlung zu den sektoriellen Abkommen», 8.1 Anhang A; https://www.ad- min.ch/opc/de/european-union/international-agreements/008.html) zur An- wendung. Günstigere Bestimmungen bilateraler oder multilateraler Überein- künfte zwischen den Vertragsparteien bleiben unberührt (Art. 48 Abs. 2 SDÜ; Art. 26 Abs. 2 und 3 EUeR).</w:t>
      </w:r>
    </w:p>
    <w:p>
      <w:r>
        <w:rPr>
          <w:b/>
        </w:rPr>
        <w:t>E. 1.2</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sind das Bundesgesetz vom 20. März 1981 über internationale Rechtshilfe in Strafsa- chen (IRSG; SR 351.1) und die dazugehörige Verordnung vom 24. Februar 1982 (IRSV; SR 351.11) anwendbar (Art. 1 Abs. 1 IRSG; BGE 143 IV 91 E. 1.3; BGE 136 IV 82 E. 3.2; 130 II 337 E. 1; vgl. auch Art. 54 StPO). Vor- behalten bleibt die Wahrung der Menschenrechte (BGE 139 II 65 E. 5.4 letz- ter Absatz; 135 IV 212 E. 2.3; 123 II 595 E. 7c).</w:t>
      </w:r>
    </w:p>
    <w:p>
      <w:r>
        <w:rPr>
          <w:b/>
        </w:rPr>
        <w:t>E. 1.3</w:t>
      </w:r>
    </w:p>
    <w:p>
      <w:r>
        <w:t>Auf das vorliegende Beschwerdeverfahren sind zudem die Bestimmungen des Bundesgesetzes vom 20. Dezember 1968 über das Verwaltungsverfah- ren (Verwaltungsverfahrensgesetz, VwVG; SR 172.021; Art. 39 Abs. 2 lit. b i.V.m. Art. 37 Abs. 2 lit. a des Bundesgesetzes über die Organisation der Strafbehörden des Bundes vom 19. März 2010 [StBOG; SR 173.71]; BGE 139 II 404 E. 6/8.2) anwendbar.</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w:t>
      </w:r>
    </w:p>
    <w:p>
      <w:r>
        <w:t>- 8 -</w:t>
      </w:r>
    </w:p>
    <w:p>
      <w:r>
        <w:t>Abs. 1 IRSG i.V.m. Art. 37 Abs. 2 lit. a StBOG). Der Schlussverfügung vo- rangehende Zwischenverfügungen können selbständig angefochten wer- den, sofern sie einen unmittelbaren und nicht wieder gutzumachenden Nach- teil bewirken durch die Beschlagnahme von Vermögenswerten und Wertge- genständen (Art. 80e Abs. 2 lit. a IRSG).</w:t>
      </w:r>
    </w:p>
    <w:p>
      <w:r>
        <w:rPr>
          <w:b/>
        </w:rPr>
        <w:t>E. 2.2.1</w:t>
      </w:r>
    </w:p>
    <w:p>
      <w:r>
        <w:t>Zur Beschwerdeführung ist berechtigt, wer persönlich und direkt von einer Rechtshilfemassnahme betroffen ist und ein schutzwürdiges Interesse an deren Aufhebung oder Änderung hat (Art. 80h lit. b IRSG). Personen, gegen die sich das ausländische Strafverfahren richtet, sind unter denselben Be- dingungen beschwerdelegitimiert (Art. 21 Abs. 3 IRSG).</w:t>
      </w:r>
    </w:p>
    <w:p>
      <w:r>
        <w:t>Bei der Erhebung von Kontoinformationen gilt als persönlich und direkt be- troffen im Sinne der Art. 21 Abs. 3 und 80h IRSG der Kontoinhaber (Art. 9a lit. a IRSV; BGE 137 IV 134 E.5.2.1; 130 II 162 E. 1.3; 128 II 211 E. 2.4; TPF 2007 79 E. 1.6).</w:t>
      </w:r>
    </w:p>
    <w:p>
      <w:r>
        <w:t>Im Falle von Hausdurchsuchungen gilt der jeweilige Eigentümer oder Mieter als persönlich und direkt betroffen im Sinne von Art. 80h lit. b IRSG (Art. 9a lit. b IRSV). Die Eigentümer- und Mieterstellung bezieht sich dabei auf die durchsuchten Räumlichkeiten (BGE 137 IV 134 E. 6.2).</w:t>
      </w:r>
    </w:p>
    <w:p>
      <w:r>
        <w:t>Anbieterinnen von Fernmeldediensten müssen jederzeit in der Lage sein, gemäss dem anwendbaren Recht namentlich die Auskünfte über Fernmel- dedienste gemäss Art. 21 des Bundesgesetzes betreffend die Überwachung des Post- und Fernmeldeverkehrs vom 18. März 2016 (BÜPF; SR 780.1) zu erteilen (Art. 32 Abs. 1 BÜPF; Art. 18 der Verordnung über die Überwachung des Post- und Fernmeldeverkehrs vom 15. November 2017 [VÜPF; SR 780.11]). Auskünfte über Fernmeldedienste (heute IRC Auszug [Informa- tion Re quest Component]; bis März 2019 CCIS Auszug [Call Center Infor- mationssystem]; Art. 15 und 21 BÜPF i.V.m. Art. 17, 26 und 40 ff. VÜPF) betreffen Bestandes- bzw. Kundendaten (so Name, Vorname, Geburtsda- tum, Adresse und, falls bekannt, Beruf der Teilnehmerin oder des Teilneh- mers), welche – im Unterschied zu Verbindungsdaten – nicht dem Fernmel- degeheimnis unterliegen (HANSJAKOB, Überwachungsrecht der Schweiz, 2018, S. 416, Art. 15 BÜPF N. 1518). Die Auskunftserteilung unterliegt nicht dem Vorbehalt einer richterlichen Genehmigung und erfolgt ohne Anwen- dung prozessualen Zwanges im Grundsatz automatisiert über die Abfrage- schnittstelle des Verarbeitungssystems des Dienstes ÜPF (Art. 18 Abs. 2 VÜPF). Gemäss Art. 15 Abs. 1 lit. b BÜPF können auch das Bundesamt für Polizei und die Polizeibehörden der Kantone und Gemeinden Auskünfte zwecks Erfüllung von Polizeiaufgaben verlangen. Materiell stellt daher die</w:t>
      </w:r>
    </w:p>
    <w:p>
      <w:r>
        <w:t>- 9 -</w:t>
      </w:r>
    </w:p>
    <w:p>
      <w:r>
        <w:t>Herausgabe solcher Informationen an einen Drittstaat eine polizeiliche Ko- operation (s. Art. 75a IRSG) und keine Rechtshilfehandlung dar, welche der Beschwerde unterliegen würde (BGE 133 IV 271 E. 2.4 – 2.5; Entscheid des Bundesstrafgerichts RR.2007.40 vom 18. Juni 2007 E. 2.3; BOMIO/GLASSEY, La qualité pour recourir dans le domaine de l'entraide judiciaire internationale en matière pénale, in: Jusletter 13. Dezember 2010, Rz 76; s. auch Ent- scheid des Bundestrafgerichts RR.2011.178 vom 30. Januar 2012 E. 3.4.2). Entsprechend besteht gegen die Herausgabe solcher Auskünfte auch keine Beschwerdelegitimation auf Seiten des betreffenden Teilnehmers.</w:t>
      </w:r>
    </w:p>
    <w:p>
      <w:r>
        <w:rPr>
          <w:b/>
        </w:rPr>
        <w:t>E. 2.2.2</w:t>
      </w:r>
    </w:p>
    <w:p>
      <w:r>
        <w:t>Als Inhaber des von der angefochtenen Schlussverfügung betroffenen Kon- tos ist der Beschwerdeführer legitimiert, die Herausgabe der betreffenden Bankunterlagen (Disp. Ziff. 2 lit. c) anzufechten.</w:t>
      </w:r>
    </w:p>
    <w:p>
      <w:r>
        <w:t>Bezüglich aller Unterlagen und Beweismittel, welche auf das anlässlich der Hausdurchsuchung am Wohnort des Beschwerdeführers sichergestellte Mo- biltelefon bzw. der darin enthaltenen Daten zurückzuführen sind (Disp. Ziff. 2 lit. d bis i), gilt der Beschwerdeführer ebenfalls als beschwerdelegitimiert im Sinne von Art. 80h lit. b IRSG i.V.m. Art. 9a lit. b IRSV.</w:t>
      </w:r>
    </w:p>
    <w:p>
      <w:r>
        <w:t>Hingegen ist die Herausgabe des IRC-Reports (Auskunftstyp IR_4_NA ge- mäss Art. 35 VÜPF) und der Kopie seines Vertrags mit dem Telekommuni- kationsanbieter D. vom 2. Dezember 2019 (Auskunftstyp IR_ 20 Contract: Vertragskopie gemäss Art. 47 VÜPF) nicht anfechtbar. Da demnach die Be- schwerde überhaupt nicht offen steht, ist auch der Beschwerdeführer nicht berechtigt, dagegen Beschwerde zu erheben.</w:t>
      </w:r>
    </w:p>
    <w:p>
      <w:r>
        <w:rPr>
          <w:b/>
        </w:rPr>
        <w:t>E. 2.3</w:t>
      </w:r>
    </w:p>
    <w:p>
      <w:r>
        <w:t>Soweit der Beschwerdeführer die Rückgabe seines beschlagnahmten Mo- biltelefons beantragt, bleibt festzuhalten, dass in der Schlussverfügung nicht dessen Herausgabe angeordnet wurde, weshalb in diesem Punkt auf seine Beschwerde nicht einzutreten ist. Überdies ist er auf die Beschwerdeantwort der Beschwerdegegnerin zu verweisen, wonach das fragliche Mobiltelefon nach dem rechtskräftigen Abschluss des Rechtshilfeverfahrens auf erste An- sprache ausgehändigt werde (act. 8.1 S. 7), weshalb sich Weiterungen oh- nehin erübrigen. Dies gilt auch dann, wenn der Rückgabeantrag des Be- schwerdeführers im Zusammenhang mit seiner allfälligen Anfechtung der Beschlagnahme des Mobiltelefons an sich stehen sollte.</w:t>
      </w:r>
    </w:p>
    <w:p>
      <w:r>
        <w:rPr>
          <w:b/>
        </w:rPr>
        <w:t>E. 2.4</w:t>
      </w:r>
    </w:p>
    <w:p>
      <w:r>
        <w:t>Die weiteren Eintretensvoraussetzungen geben zu keinen Bemerkungen An- lass. Mit Ausnahme der vorgenannten Punkte ist demnach auf die im Übri- gen form- und fristgerecht eingereichte Beschwerde einzutreten.</w:t>
      </w:r>
    </w:p>
    <w:p>
      <w:r>
        <w:t>- 10 -</w:t>
      </w:r>
    </w:p>
    <w:p>
      <w:r>
        <w:rPr>
          <w:b/>
        </w:rPr>
        <w:t>E. 3.1</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3.2</w:t>
      </w:r>
    </w:p>
    <w:p>
      <w:r>
        <w:t>Ebenso wenig muss sich die urteilende Instanz mit allen Parteistandpunkten einlässlich auseinandersetzen. Sie kann sich auf die für ihren Entscheid we- sentlichen Punkte beschränken, und es genügt, wenn die Behörde wenigs- tens kurz die Überlegungen nennt, von denen sie sich leiten liess und auf welche sich ihr Entscheid stützt (BGE 141 IV 249 E. 1.3.1; 139 IV 179 E. 2.2; Urteil des Bundesgerichts 1A.59/2004 vom 16. Juli 2004 E. 5.2, mit weiteren Hinweisen).</w:t>
      </w:r>
    </w:p>
    <w:p>
      <w:r>
        <w:rPr>
          <w:b/>
        </w:rPr>
        <w:t>E. 4.1</w:t>
      </w:r>
    </w:p>
    <w:p>
      <w:r>
        <w:t>Der Beschwerdeführer rügt, dass das E-Mail der slowakischen Behörden vom 8. November 2021 nicht als formelles Ersuchen um Durchführung einer Hausdurchsuchung mit Beschlagnahme des Handys interpretiert werden könne. Die Beschwerdegegnerin habe dabei ihr Ermessen überschritten. Der Beschwerdeführer kritisiert weiter, dass die Beschwerdegegnerin ihr Er- messen auch dadurch überschritten habe, dass sie der ersuchenden Be- hörde eine über das Rechtshilfeersuchen hinausgehende Hausdurchsu- chung und Beschlagnahme vorgeschlagen habe (act. 1 S. 4). Das formelle Ergänzungsersuchen sei erst im Juni 2023 nachgereicht worden. Die rechts- widrig erfolgte Hausdurchsuchung und Beschlagnahme lasse sich damit nicht heilen (act. 17 S. 3).</w:t>
      </w:r>
    </w:p>
    <w:p>
      <w:r>
        <w:rPr>
          <w:b/>
        </w:rPr>
        <w:t>E. 4.2</w:t>
      </w:r>
    </w:p>
    <w:p>
      <w:r>
        <w:t>Wie die Beschwerdegegnerin zurecht ausführt (act. 8.1 S. 3), ersuchten die slowakischen Behörden bereits mit ihrem Rechtshilfeersuchen vom 27. Sep- tember 2021 um Sicherstellung aller Anrufe sowie Nachrichten von der frag- lichen Nummer aus an die Geschädigte und umgekehrt (Verfahrensakten, Urk. 2 S. 4 Ziff. 1/c. und d.; s. auch supra lit. B). Die von der Beschwerde- gegnerin angeordnete Hausdurchsuchung zwecks Sicherstellung des Mobil- telefons mit der fraglichen Nummer und dessen Auswertung nach diesen Anrufen und Nachrichten erfüllen damit offensichtlich den Zweck der bean- tragten Rechtshilfemassnahme. Von einer Ermessensüberscheitung kann bereits im Ansatz keine Rede sein. Die Beschwerde erweist sich in diesem Punkt als unbegründet.</w:t>
      </w:r>
    </w:p>
    <w:p>
      <w:r>
        <w:t>- 11 -</w:t>
      </w:r>
    </w:p>
    <w:p>
      <w:r>
        <w:rPr>
          <w:b/>
        </w:rPr>
        <w:t>E. 5.1</w:t>
      </w:r>
    </w:p>
    <w:p>
      <w:r>
        <w:t>Der Beschwerdeführer macht geltend, die verfügte Herausgabe der Daten und Unterlagen gehe zu weit. Die ersuchende Behörde habe nur die Anga- ben zum Inhaber des Kontos bei der Bank C. sowie der Telefonnummer vom 13. Januar 2021 bis 28. Februar 2021 verlangt. Insbesondere habe sie nicht um die Bekanntgabe des Inhalts der Telekommunikation ersucht (act. 1 S. 4 f.).</w:t>
      </w:r>
    </w:p>
    <w:p>
      <w:r>
        <w:rPr>
          <w:b/>
        </w:rPr>
        <w:t>E. 5.2</w:t>
      </w:r>
    </w:p>
    <w:p>
      <w:r>
        <w:t>Die Beschwerdegegnerin ergänzte in ihrer Beschwerdeantwort, dass die Herausgabe von Nachrichten für einen Zeitraum bereits ab dem 22. Dezem- ber 2020 vorgesehen worden sei, weil die erste Nachricht im Zeitraum ab dem 13. Januar 2021 erst am 22. Januar 2021 versendet worden sei und daher ohne Mitlieferung der Nachricht vom 22. Dezember 2020 nicht klar ersichtlich gewesen wäre, dass alle gewünschten Nachrichte geliefert wor- den seien. Die Herausgabe der Nachricht vom 22. Dezember 2021 diene dazu, Rückfragen bzw. ein erneutes Rechtshilfeersuchen der ersuchenden Behörde zu vermeiden. Ausserdem stelle die Herausgabe dieser Nachricht gegenüber der Herausgabe des Mobiltelefons bzw. aller Daten auf dem Mo- biltelefon, die mit E-Mail vom 8. November 2021 gefordert worden sei, die mildere Massnahme dar (act. 8.1 S. 7).</w:t>
      </w:r>
    </w:p>
    <w:p>
      <w:r>
        <w:rPr>
          <w:b/>
        </w:rPr>
        <w:t>E. 5.3</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139 II 404 E. 7.2.2; 136 IV 82 E. 4.1). Dabei darf die ersuchte Rechtshilfebehörde über ein im Rechtshilfeersuchen ge- stelltes Begehren nicht hinausgehen (Übermassverbot; BGE 136 IV 82 E. 4.1). Die Rechtsprechung hat diesen Grundsatz derweil insofern präzi- siert, als das Rechtshilfeersuchen nach Massgabe des Zwecks der ange- strebten Rechtshilfe weit ausgelegt werden kann, solange alle Vorausset- zungen für die Gewährung der Rechtshilfe erfüllt sind. Auf diese Weise kann eine andernfalls notwendige Ergänzung des Rechtshilfeersuchens vermie- den werden (BGE 136 IV 82 E. 4.1; vgl. zum Ganzen auch TPF 2009 161 E. 5.1).</w:t>
      </w:r>
    </w:p>
    <w:p>
      <w:r>
        <w:rPr>
          <w:b/>
        </w:rPr>
        <w:t>E. 5.4</w:t>
      </w:r>
    </w:p>
    <w:p>
      <w:r>
        <w:t>Die zu übermittelnden Bankunterlagen entsprechen im Einzelnen dem slo- wakischen Rechtshilfeersuchen (s. supra lit. B). Es liegt weiter auf der Hand, dass die slowakischen Strafverfolgungsbehörden nicht nur an Datums- und Zeitangaben, sondern auch am Inhalt der Nachrichten zwischen dem</w:t>
      </w:r>
    </w:p>
    <w:p>
      <w:r>
        <w:t>- 12 -</w:t>
      </w:r>
    </w:p>
    <w:p>
      <w:r>
        <w:t>mutmasslichen Täter mit B. ein erhebliches Untersuchungsinteresse haben. Das gilt selbstredend auch für den Nachrichtenaustausch vom 22. Dezem- ber 2020. Der Beschwerdeführer argumentiert somit gegen offenkundige Tatsachen, weshalb sich seine Beschwerde auch in diesem Punkt als unbe- gründet erweist.</w:t>
      </w:r>
    </w:p>
    <w:p>
      <w:r>
        <w:rPr>
          <w:b/>
        </w:rPr>
        <w:t>E. 6</w:t>
      </w:r>
    </w:p>
    <w:p>
      <w:r>
        <w:t>Andere Rechtshilfehindernisse werden nicht geltend gemacht und sind auch nicht ersichtlich. Der Herausgabe der vorgenannten Unterlagen und Daten steht somit nichts entgegen. Die Beschwerde erweist sich in allen Punkten als unbegründet und ist zusammen mit dem Eventualantrag abzuweisen, so- weit auf die Beschwerde einzutreten ist (s. supra E. 2.2 ff.).</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S. 476 f.; 139 III 396 E. 1.2; 138 III 217 E. 2.2.4).</w:t>
      </w:r>
    </w:p>
    <w:p>
      <w:r>
        <w:rPr>
          <w:b/>
        </w:rPr>
        <w:t>E. 7.2</w:t>
      </w:r>
    </w:p>
    <w:p>
      <w:r>
        <w:t>Nach dem oben Ausgeführten muss die vorliegende Beschwerde als offen- sichtlich aussichtslos bezeichnet werden. Folglich ist das Gesuch RP.2022.17 um unentgeltliche Rechtspflege und Rechtsverbeiständung ab- zuweisen. Bei der Festsetzung der Spruchgebühr kann gemäss Art. 63 Abs. 4 bis VwVG der womöglich schwierigen finanziellen Situation des Be- schwerdeführers Rechnung getragen werden.</w:t>
      </w:r>
    </w:p>
    <w:p>
      <w:r>
        <w:rPr>
          <w:b/>
        </w:rPr>
        <w:t>E. 8</w:t>
      </w:r>
    </w:p>
    <w:p>
      <w:r>
        <w:t>Bei diesem Ausgang des Verfahrens sind die Gerichtskosten dem Be- schwerdeführer aufzuerlegen (vgl. Art. 63 Abs. 1 VwVG). Die reduzierte Ge- richtsgebühr ist auf Fr. 2'000.-- festzusetzen (vgl. Art. 63 Abs. 5 VwVG i.V.m. Art. 73 StBOG sowie Art. 5 und 8 Abs. 3 lit. a des Reglements des Bun- desstrafgerichts über die Kosten, Gebühren und Entschädigungen in Bun- desstrafverfahren [BStKR; SR 173.713.162]).</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