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RR.2022.76 vom 9. August 2022</w:t>
      </w:r>
    </w:p>
    <w:p>
      <w:r>
        <w:t>Bundesstrafgericht, 2022-08-09, IT</w:t>
      </w:r>
    </w:p>
    <w:p>
      <w:r>
        <w:rPr>
          <w:b/>
        </w:rPr>
        <w:t xml:space="preserve">Quelle: </w:t>
      </w:r>
      <w:r>
        <w:t>https://mcp.opencaselaw.ch/entscheid/bstger_RR.2022.76</w:t>
      </w:r>
    </w:p>
    <w:p>
      <w:r>
        <w:t>FR: TPF RR.2022.76 du 9 août 2022</w:t>
      </w:r>
    </w:p>
    <w:p>
      <w:r>
        <w:t>IT: TPF RR.2022.76 del 9 agosto 2022</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w:t>
      </w:r>
    </w:p>
    <w:p>
      <w:r>
        <w:t>- 4 -</w:t>
      </w:r>
    </w:p>
    <w:p>
      <w:r>
        <w:t>Confederazione alla voce “Raccolta dei testi giuridici riguardanti gli accordi bi- 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consegna di valori patrimo- niali del 22 marzo 2022, il ricorso è ricevibile sotto il profilo degli art. 25 cpv. 1, 80e cpv. 1 e 80k AIMP. Titolare della relazione nonché proprietario del fondo oggetto della decisione impugnata, il ricorrente è legittimato a ricorrere (v. art. 80h lett. b AIMP e art. 9a lett. a e b OAIMP nonché DTF 137 IV 134 consid. 5.2.1; 130 II 162 consid. 1.1; 128 II 211 consid. 2.3; TPF 2007 79 consid. 1.6 pag. 82).</w:t>
      </w:r>
    </w:p>
    <w:p>
      <w:r>
        <w:rPr>
          <w:b/>
        </w:rPr>
        <w:t>E. 2</w:t>
      </w:r>
    </w:p>
    <w:p>
      <w:r>
        <w:t>Accordo italo-svizzero).</w:t>
      </w:r>
    </w:p>
    <w:p>
      <w:r>
        <w:rPr>
          <w:b/>
        </w:rPr>
        <w:t>E. 3</w:t>
      </w:r>
    </w:p>
    <w:p>
      <w:r>
        <w:t>Il ricorrente sostiene che la sentenza del Tribunale di Arezzo del 9 novembre 2017, emanata nell’ambito di una procedura di patteggiamento, violerebbe il principio nulla poena sine lege espressamente garantito dall’art. 7 CEDU, visto che l’autorità non gli avrebbe prospettato la confisca del fondo e dei conti liti- giosi. La rogatoria sarebbe inoltre lesiva dell’art. 2 AIMP e più specificatamente del suo diritto di essere sentito, “dato che, nonostante egli abbia patteggiato determinate condizioni, l’autorità richiedente ne ha imposte altre, aggiungendo inattesi indesiderati effetti patrimoniali alla richiesta di pena accolta” (act. 1, pag. 9).</w:t>
      </w:r>
    </w:p>
    <w:p>
      <w:r>
        <w:rPr>
          <w:b/>
        </w:rPr>
        <w:t>E. 3.1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Ciò è di particolare importanza nelle procedure di estradizione, ma vale di principio</w:t>
      </w:r>
    </w:p>
    <w:p>
      <w:r>
        <w:t>- 6 -</w:t>
      </w:r>
    </w:p>
    <w:p>
      <w:r>
        <w:t>ugualmente per le altre forme di assistenza (DTF 130 II 217 consid. 8.1; 129 II 268 consid. 6.1; TPF 2010 56 cosid. 6.3.2).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 dipendenza e l'imparzialità del potere giudiziario. Il giudice dell'assistenza deve dar prova a tal proposito di una prudenza particolare (DTF 130 II 217 con- 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matière pénale, 5a ediz. 2019, n. 683 e rinvii).</w:t>
      </w:r>
    </w:p>
    <w:p>
      <w:r>
        <w:rPr>
          <w:b/>
        </w:rPr>
        <w:t>E. 3.2</w:t>
      </w:r>
    </w:p>
    <w:p>
      <w:r>
        <w:t>In concreto, con sentenza del 9 novembre 2017, il Tribunale di Arezzo, nell’am- bito di una procedura di patteggiamento ai sensi degli art. 444 e segg. CPP/I, ha condannato il ricorrente alla pena di due anni di reclusione, sospesa condi- zionalmente, e a EUR 4'000.– di multa per i reati ascrittigli (v. act. 1.C, pag. 61 nonché 66 e seg.). L’autorità ha parimenti disposto la confisca a carico del pre- detto di EUR 198'924'000.– in solido con altri coimputati, “da eseguire, per la parte corrispondente al relativo ammontare, sugli importi in denaro, sui crediti e sui beni già in sequestro a carico dei predetti imputati A., […]” (ibidem, pag. 67 e segg.). Il ricorrente ha contestato la confisca dinanzi alla Corte suprema di cassazione italiana, la quale ha confermato la sentenza aretina. Come riportato dal Tribunale di Arezzo, la sentenza è infatti “passata in giudicato in data 27/2/19 per A. […] anche relativamente alla confisca (sentenza già passata in giudicato per la pena della reclusione e della multa)” (act. 6.6). Quanto precede permette di concludere che il ricorrente ha avuto modo di presentare le sue censure sulla confisca dinanzi alla massima istanza giudiziaria italiana, la quale non ha tuttavia ravvisato nessuna violazione dei suoi diritti fondamentali nell’ambito della procedura di patteggiamento sfociata nella sentenza del 9 no- vembre 2017. Il richiamo della sentenza del Tribunale penale federale RR.2021.159 del 17 gennaio 2022, al fine di ottenere una sospensione per chie- dere chiarimenti all’autorità rogante, non è qui pertinente, nella misura in cui in quel caso valori patrimoniali della ricorrente erano stati confiscati nell’ambito di una procedura che non la concerneva, con il dubbio a sapere se la stessa avesse avuto modo di esprimersi prima che la misura fosse pronunciata. Per il resto non si vede come la procedura italiana possa essere lesiva del principio nulla poena sine lege, dato che i reati e le fattispecie penali alla base della sen- tenza del 9 novembre 2017 sono chiaramente indicati e ovviamente noti al ri- corrente.</w:t>
      </w:r>
    </w:p>
    <w:p>
      <w:r>
        <w:t>- 7 -</w:t>
      </w:r>
    </w:p>
    <w:p>
      <w:r>
        <w:rPr>
          <w:b/>
        </w:rPr>
        <w:t>E. 4</w:t>
      </w:r>
    </w:p>
    <w:p>
      <w:r>
        <w:t>In conclusione, il ricorso va respinto e la decisione impugnata confermata.</w:t>
      </w:r>
    </w:p>
    <w:p>
      <w:r>
        <w:rPr>
          <w:b/>
        </w:rPr>
        <w:t>E. 5</w:t>
      </w:r>
    </w:p>
    <w:p>
      <w:r>
        <w:t>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8'000.–, a carico del ricorrente; essa è coperta dall'anticipo delle spese del medesimo importo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