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RR.2022.71 vom 12. Mai 2022</w:t>
      </w:r>
    </w:p>
    <w:p>
      <w:r>
        <w:t>Bundesstrafgericht, 2022-05-12, FR</w:t>
      </w:r>
    </w:p>
    <w:p>
      <w:r>
        <w:rPr>
          <w:b/>
        </w:rPr>
        <w:t xml:space="preserve">Quelle: </w:t>
      </w:r>
      <w:r>
        <w:t>https://mcp.opencaselaw.ch/entscheid/bstger_RR.2022.71</w:t>
      </w:r>
    </w:p>
    <w:p>
      <w:r>
        <w:t>FR: TPF RR.2022.71 du 12 mai 2022</w:t>
      </w:r>
    </w:p>
    <w:p>
      <w:r>
        <w:t>IT: TPF RR.2022.71 del 12 maggio 2022</w:t>
      </w:r>
    </w:p>
    <w:p>
      <w:pPr>
        <w:pStyle w:val="Heading2"/>
      </w:pPr>
      <w:r>
        <w:t>Regeste</w:t>
      </w:r>
    </w:p>
    <w:p>
      <w:r>
        <w:t>Entraide judiciaire internationale en matière pénale aux Etats-Unis; remise de moyens de preuve (art. 74 EIMP)</w:t>
      </w:r>
    </w:p>
    <w:p>
      <w:pPr>
        <w:pStyle w:val="Heading2"/>
      </w:pPr>
      <w:r>
        <w:t>Erwägungen</w:t>
      </w:r>
    </w:p>
    <w:p>
      <w:r>
        <w:rPr>
          <w:b/>
        </w:rPr>
        <w:t>E. 17</w:t>
      </w:r>
    </w:p>
    <w:p>
      <w:r>
        <w:t>octobre 2011 consid. 1.5); la qualité pour recourir ne sera reconnue audit ayant droit que si l'acte de dissolution indique clairement ce dernier comme étant le bénéficiaire de la société dissoute (arrêts du Tribunal fédéral 1C_162/2018 du 29 mai 2018 consid. 2.1.1 et 2.2; 1B_466/2017 du 27 mars 2018 consid. 3.1 et 3.2; 1C_183/2012 du 12 avril 2012 consid. 1.4; 1C_161/2011 du 11 avril 2011 consid. 1.3.1 et les réf. citées); la preuve peut toutefois également être apportée par le biais d'autres moyens, il est alors nécessaire que la documentation produite dans ce cadre désigne clairement le titulaire du compte comme détenteur des biens de la société dissoute (arrêt du Tribunal fédéral 1C_370/2012 du 3 octobre 2012 consid. 2.7; arrêts du Tribunal pénal fédéral RR.2017.9 du 21 juin 2017 consid. 1.4.2; RR.2016.119 du 8 novembre 2016 consid. 1.3.1; RR.2012.257 du 2 juillet 2013 consid. 1.2.2; RR.2012.252 du 7 juin 2013 consid. 2.2.1);</w:t>
      </w:r>
    </w:p>
    <w:p>
      <w:r>
        <w:t> en l'occurrence, après que la Cour de céans ait requis des documents attestant, notamment, l’existence de la société recourante au moment du dépôt du mémoire de recours, il est apparu que ladite société a été dissoute en 2013 (act. 7.2), de sorte qu’au moment du dépôt du mémoire de recours, elle ne disposait plus de la personnalité juridique;</w:t>
      </w:r>
    </w:p>
    <w:p>
      <w:r>
        <w:t> par conséquent, au vu de la jurisprudence développée supra, la société recourante n’est pas légitimée à contester la décision entreprise ordonnant la transmission de la documentation bancaire relative à la relation d’affaires ouverte à son nom auprès de la banque D.;</w:t>
      </w:r>
    </w:p>
    <w:p>
      <w:r>
        <w:t>- 5 -</w:t>
      </w:r>
    </w:p>
    <w:p>
      <w:r>
        <w:t> il s'ensuit que le recours doit être déclaré irrecevable;</w:t>
      </w:r>
    </w:p>
    <w:p>
      <w:r>
        <w:t> au vu de la conclusion qui précède et en application de l'art. 57 al. 1 PA, la Cour de céans a renoncé à procéder à un échange d'écritures;</w:t>
      </w:r>
    </w:p>
    <w:p>
      <w:r>
        <w:t> en règle générale, les frais de procédure comprenant l'émolument d'arrêté, les émoluments de chancellerie et les débours sont mis à charge des parties qui succombent (art. 63 al. 1 PA, applicable par renvoi de l'art. 39 al. 2 let. b LOAP); la partie dont le recours est irrecevable est également considérée avoir succombé; le montant de l'émolument est calculé en fonction de l'ampleur et de la difficulté de la cause, de la façon de procéder des parties, de leur situation financière et des frais de chancellerie (art. 73 al. 2 LOAP);</w:t>
      </w:r>
    </w:p>
    <w:p>
      <w:r>
        <w:t> au vu de ce qui précède, il incombe à la recourante de supporter les frais du présent arrêt, fixés à CHF 2'000.-- (v. art. 73 al. 2 LOAP et art. 8 al. 3 du règlement du 31 août 2010 du Tribunal pénal fédéral sur les frais, émoluments, dépens et indemnités de la procédure pénale fédérale [RFPPF; RS 173.713.162]; art. 63 al. 5 PA), lesquels sont entièrement couverts par l’avance de frais déjà versée; étant précisé que le solde par CHF 3'000.-- sera restitué au conseil de la recourante par la caisse du Tribunal pénal fédéral.</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