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RR.2022.65 vom 27. Juni 2022</w:t>
      </w:r>
    </w:p>
    <w:p>
      <w:r>
        <w:t>Bundesstrafgericht, 2022-06-27, IT</w:t>
      </w:r>
    </w:p>
    <w:p>
      <w:r>
        <w:rPr>
          <w:b/>
        </w:rPr>
        <w:t xml:space="preserve">Quelle: </w:t>
      </w:r>
      <w:r>
        <w:t>https://mcp.opencaselaw.ch/entscheid/bstger_RR.2022.65</w:t>
      </w:r>
    </w:p>
    <w:p>
      <w:r>
        <w:t>FR: TPF RR.2022.65 du 27 juin 2022</w:t>
      </w:r>
    </w:p>
    <w:p>
      <w:r>
        <w:t>IT: TPF RR.2022.65 del 27 giugno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Alle questioni che il prevalente diritto internazionale contenuto in detti trattati non regola espressamente o implicitamente, come pure quando il diritto nazionale sia più favorevole all'assistenza rispetto a quello pattizio (cosiddetto principio di favore), si applica la legge sull'assistenza in ma- teria penale, unitamente alla relativa ordinanza (OAIMP; RS 351.11; v. art. 1 cpv. 1 AIMP, art. I n. 2 Accordo italo-svizzero; DTF 145 IV 294 consid. 2.1; 142 IV 250 consid. 3; 140 IV 123 consid. 2; 137 IV 33 consid. 2.2.2; 136 IV 82 con- sid. 3.1). Il principio di favore vale anche nell'applicazione delle pertinenti norme di diritto internazionale (v. art. 48 n. 2 CAS, art. I n. 2 Accordo italo-svizzero). È fatto salvo il rispetto dei diritti fondamentali (DTF 145 IV 294 consid. 2.1; 135 IV 212 consid. 2.3; 123 II 595 consid. 7c).</w:t>
      </w:r>
    </w:p>
    <w:p>
      <w:r>
        <w:t>- 4 -</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la ricor- rente è legittimata a ricorrere (v. art. 80h lett. b AIMP e art. 9a lett. a OAIMP nonché DTF 137 IV 134 consid. 5.2.1; 130 II 162 consid. 1.1; 128 II 211 con- sid. 2.3; TPF 2007 79 consid. 1.6 pag. 82).</w:t>
      </w:r>
    </w:p>
    <w:p>
      <w:r>
        <w:rPr>
          <w:b/>
        </w:rPr>
        <w:t>E. 2</w:t>
      </w:r>
    </w:p>
    <w:p>
      <w:r>
        <w:t>febbraio 2010 consid. 4.1; ZIMMERMANN, La coopération judiciaire internatio- nale en matière pénale, 5a ediz. 2019, n. 723, pag. 798 e seg.). Vietata è per contro la cosiddetta fishing expedition, la quale è definita dalla giurisprudenza una ricerca generale e indeterminata di mezzi di prova volta a fondare un sospetto senza che esistano pregressi elementi concreti a sostegno dello stesso (DTF 137 I 218 consid. 2.3.2; 125 II 65 consid. 6b/aa pag. 73 e rinvii; TPF 2007 57 consid. 6.1). Tale divieto si fonda semplicemente sul fatto che è inammissibile procedere a casaccio nella raccolta delle prove (DTF 113 Ib 257 consid. 5c; sentenza del Tribunale penale federale RR.2017.21 dell’8 maggio 2017 consid. 3.1).</w:t>
      </w:r>
    </w:p>
    <w:p>
      <w:r>
        <w:rPr>
          <w:b/>
        </w:rPr>
        <w:t>E. 2.1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 tenza del Tribunale penale federale RR.2019.257 del 12 febbraio 2020 con- 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w:t>
      </w:r>
    </w:p>
    <w:p>
      <w:r>
        <w:t>- 5 -</w:t>
      </w:r>
    </w:p>
    <w:p>
      <w:r>
        <w:t>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 sid. 3.1 e rinvii).</w:t>
      </w:r>
    </w:p>
    <w:p>
      <w:r>
        <w:t>Inoltre, da consolidata prassi, quando le autorità estere chiedono informazioni per ricostruire flussi patrimoniali di natura criminale si ritiene che necessitino di 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 tenza del Tribunale penale federale RR.2014.4 del 30 luglio 2014 consid. 2.2.2). Naturalmente è anche possibile che i conti in questione non siano stati utilizzati per ricevere proventi di reati o per effettuare trasferimenti illeciti,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 sid. 4.2). La trasmissione dell'intera documentazione potrà evitare altresì che le autorità debbano inoltrare eventuali domande complementari (DTF 136 IV 82 consid. 4.1; 121 II 241 consid. 3; sentenza del Tribunale federale 1C_486/2008 dell'11 novembre 2008 consid. 2.4; sentenza del Tribunale penale federale RR.2011.113 del 28 luglio 2011 consid. 4.2), con evidente intralcio alle esi- 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consid. 2c; 121 II 241 consid. 3a e b; TPF 2010 73 consid. 7.1). Il principio dell’utilità potenziale ha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richiedente a provare i fatti già emersi, ma di svelarne altri, se ne esistono. Ne deriva, per l'autorità d'esecuzione, un dovere di esaustività che giustifica la comunicazione di tutti gli elementi da essa raccolti e potenzialmente</w:t>
      </w:r>
    </w:p>
    <w:p>
      <w:r>
        <w:t>- 6 -</w:t>
      </w:r>
    </w:p>
    <w:p>
      <w:r>
        <w:t>idonei alle indagini estere, al fine di chiarire in tutti i suoi aspetti i meccanismi delittuosi sotto la lente degli inquirenti esteri (sentenze del Tribunale penale federale RR.2010.173 del 13 ottobre 2010 consid. 4.2.4/a e RR.2009.320 del</w:t>
      </w:r>
    </w:p>
    <w:p>
      <w:r>
        <w:rPr>
          <w:b/>
        </w:rPr>
        <w:t>E. 2.2</w:t>
      </w:r>
    </w:p>
    <w:p>
      <w:r>
        <w:t>Nella fattispecie, nella misura in cui tra le società utilizzate per riciclare il pro- vento dei reati contestati agli indagati vi sarebbe la società D. Ltd e che l’inchie- sta italiana ha permesso di appurare che dal conto litigioso sono stati effettuati sedici bonifici, per un totale di EUR 84'497.53, su un conto della predetta so- cietà, l’utilità potenziale è certamente data. Vista la natura dei reati contestati, l’autorità estera deve potere analizzare personalmente tutta la documentazione bancaria, al fine di ricostruire tutti i flussi di denaro intervenuti tra le soggettività, conosciute o ancora sconosciute, coinvolte nei fatti oggetto delle indagini. Nulla muta la pretesa liceità dei bonifici effettuati dalla ricorrente a favore della società D. Ltd, visto che spetta all’autorità estera che conduce le indagini valutarne la natura. Non potendosi escludere che anche altre persone fisiche e/o giuridiche ancora sconosciute agli inquirenti esteri possano risultare coinvolte nella vi- cenda, la richiesta di stralcio delle movimentazioni bancarie non riferibili a D. Ltd, presentata dalla ricorrente a titolo subordinato, deve essere a sua volta disattesa. Spetterà comunque al giudice estero del merito valutare la rilevanza probatoria di tale documentazione. In definitiva, la trasmissione di tutta la docu- mentazione litigiosa rispetta il principio della proporzionalità e non costituisce una ricerca esplorativa e indiscriminata di prove.</w:t>
      </w:r>
    </w:p>
    <w:p>
      <w:r>
        <w:rPr>
          <w:b/>
        </w:rPr>
        <w:t>E. 2.3</w:t>
      </w:r>
    </w:p>
    <w:p>
      <w:r>
        <w:t>Per quanto concerne l'invocata estraneità ai fatti oggetto del procedimento ita- liano, l'assunto ricorsuale non è decisivo. L’insorgente disattende infatti che l'e- ventuale qualità di persona non implicata nell'inchiesta all'estero non consente a priori di opporsi alle misure di assistenza. Basta che sussista una relazione diretta e oggettiva tra la persona ed il reato per il quale si indaga e ciò senza che siano necessarie un'implicazione nell'operazione criminosa e ancor meno una colpevolezza soggettiva ai sensi del diritto penale (DTF 120 Ib 251 consid. 5a e b; 118 Ib 547 consid. 3a in fine; ZIMMERMANN, op. cit., n. 404). Giova a tal proposito ricordare che l'art. 10 cpv. 1 AIMP, concernente la sfera segreta di persone non implicate nel procedimento penale, è stato abrogato con la modi- fica dell'AIMP del 4 ottobre 1996. Per di più, i titolari di conti bancari usati, anche</w:t>
      </w:r>
    </w:p>
    <w:p>
      <w:r>
        <w:t>- 7 -</w:t>
      </w:r>
    </w:p>
    <w:p>
      <w:r>
        <w:t>a loro insaputa, per operazioni sospette non potevano comunque prevalersi di quella disposizione (DTF 120 Ib 251 consid. 5b; 112 Ib 576 consid. 13d).</w:t>
      </w:r>
    </w:p>
    <w:p>
      <w:r>
        <w:rPr>
          <w:b/>
        </w:rPr>
        <w:t>E. 3</w:t>
      </w:r>
    </w:p>
    <w:p>
      <w:r>
        <w:t>La ricorrente, pur non motivandola, censura la violazione del principio della spe- cialità.</w:t>
      </w:r>
    </w:p>
    <w:p>
      <w:r>
        <w:rPr>
          <w:b/>
        </w:rPr>
        <w:t>E. 3.1</w:t>
      </w:r>
    </w:p>
    <w:p>
      <w:r>
        <w:t>L’art. 67 cpv. 1 AIMP prevede che le informazioni e i documenti ottenuti mercé l’assistenza non possono essere usati nello Stato richiedente né a scopo d’in- dagine né come mezzi di prova in procedimenti vertenti su fatti per cui l’assi- stenza è inammissibile. Giusta il cpv. 2 della medesima disposizione, qualsiasi altro uso sottostà al consenso dell’Ufficio federale. Tale consenso non è neces- sario se: il fatto cui si riferisce la domanda costituisce un’altra fattispecie penale per la quale l’assistenza è ammissibile (lett. a), o il procedimento penale estero è diretto contro un’altra persona che ha partecipato al reato (lett. b).</w:t>
      </w:r>
    </w:p>
    <w:p>
      <w:r>
        <w:rPr>
          <w:b/>
        </w:rPr>
        <w:t>E. 3.2</w:t>
      </w:r>
    </w:p>
    <w:p>
      <w:r>
        <w:t>In concreto, l’UDSC ha chiaramente indicato nella decisione di chiusura che dopo la crescita in giudicato della stessa, i documenti litigiosi “verranno tra- smessi all’autorità richiedente rinviando al principio della specialità (artt. 63 e 67 AIMP)” (act. 1.2, pag. 7). Non emergendo dagli atti nessun indizio che possa far credere che l’autorità italiana non rispetterà tale principio, la censura in que- sto ambito va disattesa.</w:t>
      </w:r>
    </w:p>
    <w:p>
      <w:r>
        <w:rPr>
          <w:b/>
        </w:rPr>
        <w:t>E. 4</w:t>
      </w:r>
    </w:p>
    <w:p>
      <w:r>
        <w:t>In conclusione, il ricorso va respinto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della ricorrente; essa è coperta dall'anticipo delle spese del medesimo importo già versato.</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